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9994A36" w:rsidR="00E66558" w:rsidRDefault="009D71E8" w:rsidP="00A76CCD">
      <w:pPr>
        <w:pStyle w:val="Heading1"/>
      </w:pPr>
      <w:bookmarkStart w:id="0" w:name="_Toc400361362"/>
      <w:bookmarkStart w:id="1" w:name="_Toc443397153"/>
      <w:bookmarkStart w:id="2" w:name="_Toc357771638"/>
      <w:bookmarkStart w:id="3" w:name="_Toc346793416"/>
      <w:bookmarkStart w:id="4" w:name="_Toc328122777"/>
      <w:r>
        <w:t xml:space="preserve">Pupil </w:t>
      </w:r>
      <w:r w:rsidR="00F12953">
        <w:t>P</w:t>
      </w:r>
      <w:r>
        <w:t xml:space="preserve">remium </w:t>
      </w:r>
      <w:r w:rsidR="00F12953">
        <w:t>S</w:t>
      </w:r>
      <w:r>
        <w:t xml:space="preserve">trategy </w:t>
      </w:r>
      <w:r w:rsidR="00F12953">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D5D0564"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216F38">
        <w:rPr>
          <w:b w:val="0"/>
          <w:bCs/>
          <w:color w:val="auto"/>
          <w:sz w:val="24"/>
          <w:szCs w:val="24"/>
        </w:rPr>
        <w:t>2</w:t>
      </w:r>
      <w:r>
        <w:rPr>
          <w:b w:val="0"/>
          <w:bCs/>
          <w:color w:val="auto"/>
          <w:sz w:val="24"/>
          <w:szCs w:val="24"/>
        </w:rPr>
        <w:t xml:space="preserve"> to 202</w:t>
      </w:r>
      <w:r w:rsidR="00216F38">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27F3B27" w:rsidR="00E66558" w:rsidRDefault="00F12953">
            <w:pPr>
              <w:pStyle w:val="TableRow"/>
            </w:pPr>
            <w:r>
              <w:t>Marshfields</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300A3E7" w:rsidR="00E66558" w:rsidRDefault="00B53824">
            <w:pPr>
              <w:pStyle w:val="TableRow"/>
            </w:pPr>
            <w:r>
              <w:t>1</w:t>
            </w:r>
            <w:r w:rsidR="009D1132">
              <w:t>71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9C7F0C1" w:rsidR="00E66558" w:rsidRDefault="004D0BF7">
            <w:pPr>
              <w:pStyle w:val="TableRow"/>
            </w:pPr>
            <w:r>
              <w:t>51%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6D94D86" w:rsidR="00E66558" w:rsidRDefault="009D71E8">
            <w:pPr>
              <w:pStyle w:val="TableRow"/>
            </w:pPr>
            <w:r>
              <w:rPr>
                <w:szCs w:val="22"/>
              </w:rPr>
              <w:t xml:space="preserve">Academic year/years that our current pupil premium strategy plan covers </w:t>
            </w:r>
            <w:r>
              <w:rPr>
                <w:b/>
                <w:bCs/>
                <w:szCs w:val="22"/>
              </w:rPr>
              <w:t>(</w:t>
            </w:r>
            <w:r w:rsidR="00454160">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961B8D8" w:rsidR="00E66558" w:rsidRDefault="00454160">
            <w:pPr>
              <w:pStyle w:val="TableRow"/>
            </w:pPr>
            <w:r>
              <w:t>2021</w:t>
            </w:r>
            <w:r w:rsidR="00131AE1">
              <w:t>/2022</w:t>
            </w:r>
            <w:r>
              <w:t xml:space="preserve"> </w:t>
            </w:r>
            <w:r w:rsidR="00131AE1">
              <w:t>–</w:t>
            </w:r>
            <w:r>
              <w:t xml:space="preserve"> 2024</w:t>
            </w:r>
            <w:r w:rsidR="00131AE1">
              <w:t>/2025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DA2CC3D" w:rsidR="00E66558" w:rsidRDefault="00F12953">
            <w:pPr>
              <w:pStyle w:val="TableRow"/>
            </w:pPr>
            <w:r>
              <w:t>3</w:t>
            </w:r>
            <w:r w:rsidR="004460FE">
              <w:t>0</w:t>
            </w:r>
            <w:r>
              <w:t>/</w:t>
            </w:r>
            <w:r w:rsidR="004460FE">
              <w:t>06</w:t>
            </w:r>
            <w:r>
              <w:t>/202</w:t>
            </w:r>
            <w:r w:rsidR="004460FE">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F6E6216" w:rsidR="00E66558" w:rsidRDefault="00F12953">
            <w:pPr>
              <w:pStyle w:val="TableRow"/>
            </w:pPr>
            <w:r>
              <w:t>01/12/202</w:t>
            </w:r>
            <w:r w:rsidR="009D1132">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BF3E95E" w:rsidR="00E66558" w:rsidRDefault="004460FE">
            <w:pPr>
              <w:pStyle w:val="TableRow"/>
            </w:pPr>
            <w:r>
              <w:t>Ian Graham-Wells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3612475" w:rsidR="00E66558" w:rsidRDefault="00F12953">
            <w:pPr>
              <w:pStyle w:val="TableRow"/>
            </w:pPr>
            <w:r>
              <w:t>Ian Graham-Wells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7C7F45D" w:rsidR="00E66558" w:rsidRDefault="00D44254">
            <w:pPr>
              <w:pStyle w:val="TableRow"/>
            </w:pPr>
            <w:r>
              <w:t>Isabel Clarke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80EBAE8" w:rsidR="00E66558" w:rsidRDefault="009D71E8">
            <w:pPr>
              <w:pStyle w:val="TableRow"/>
            </w:pPr>
            <w:r w:rsidRPr="00432424">
              <w:t>£</w:t>
            </w:r>
            <w:r w:rsidR="00116CDE" w:rsidRPr="00432424">
              <w:t>7</w:t>
            </w:r>
            <w:r w:rsidR="00432424" w:rsidRPr="00432424">
              <w:t>5</w:t>
            </w:r>
            <w:r w:rsidR="00116CDE" w:rsidRPr="00432424">
              <w:t>5</w:t>
            </w:r>
            <w:r w:rsidR="00432424" w:rsidRPr="00432424">
              <w:t>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B8ABF8B" w:rsidR="00E66558" w:rsidRDefault="009D71E8">
            <w:pPr>
              <w:pStyle w:val="TableRow"/>
            </w:pPr>
            <w:r w:rsidRPr="00432424">
              <w:t>£</w:t>
            </w:r>
            <w:r w:rsidR="00432424" w:rsidRPr="00432424">
              <w:t>74680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9BED77" w:rsidR="00E66558" w:rsidRDefault="009D71E8">
            <w:pPr>
              <w:pStyle w:val="TableRow"/>
            </w:pPr>
            <w:r>
              <w:t>£</w:t>
            </w:r>
            <w:r w:rsidR="00116CD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C71D412" w:rsidR="00E66558" w:rsidRDefault="00432424">
            <w:pPr>
              <w:pStyle w:val="TableRow"/>
            </w:pPr>
            <w:r>
              <w:t>£146832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3BF6D" w14:textId="67A49840" w:rsidR="00021A2F" w:rsidRDefault="00021A2F" w:rsidP="00273223">
            <w:pPr>
              <w:tabs>
                <w:tab w:val="left" w:pos="6249"/>
              </w:tabs>
              <w:spacing w:after="0"/>
              <w:rPr>
                <w:b/>
                <w:u w:val="single"/>
              </w:rPr>
            </w:pPr>
            <w:r>
              <w:t xml:space="preserve">All members of staff and the governing body are committed to meeting the academic, </w:t>
            </w:r>
            <w:r w:rsidR="00B24170">
              <w:t>pastoral,</w:t>
            </w:r>
            <w:r>
              <w:t xml:space="preserve"> and social needs of students who qualify for Pupil Premium, to facilitate their best outcomes. We are committed to reducing the attainment gap between Pupil Premium and non</w:t>
            </w:r>
            <w:r w:rsidR="00454160">
              <w:t>-</w:t>
            </w:r>
            <w:r>
              <w:t>Pupil Premium students by investing pupil premium funding in a tailored manner to address individual, as well as shared, in-</w:t>
            </w:r>
            <w:r w:rsidR="00B24170">
              <w:t>school,</w:t>
            </w:r>
            <w:r>
              <w:t xml:space="preserve"> and external barriers.</w:t>
            </w:r>
          </w:p>
          <w:p w14:paraId="2CE6CEA8" w14:textId="272DEE17" w:rsidR="00273223" w:rsidRDefault="00273223" w:rsidP="00273223">
            <w:pPr>
              <w:tabs>
                <w:tab w:val="left" w:pos="6249"/>
              </w:tabs>
              <w:spacing w:after="0"/>
              <w:rPr>
                <w:b/>
                <w:u w:val="single"/>
              </w:rPr>
            </w:pPr>
            <w:r>
              <w:rPr>
                <w:b/>
                <w:u w:val="single"/>
              </w:rPr>
              <w:t xml:space="preserve">School objectives in spending PPG: </w:t>
            </w:r>
          </w:p>
          <w:p w14:paraId="2D92D860" w14:textId="77777777" w:rsidR="00273223" w:rsidRDefault="00273223" w:rsidP="00273223">
            <w:pPr>
              <w:autoSpaceDE w:val="0"/>
              <w:adjustRightInd w:val="0"/>
              <w:spacing w:after="0" w:line="240" w:lineRule="auto"/>
            </w:pPr>
            <w:r>
              <w:t>Raising Attainment and achievement of students to at least expected progress through</w:t>
            </w:r>
          </w:p>
          <w:p w14:paraId="7583B071" w14:textId="77777777" w:rsidR="00273223" w:rsidRDefault="00273223" w:rsidP="00273223">
            <w:pPr>
              <w:autoSpaceDE w:val="0"/>
              <w:adjustRightInd w:val="0"/>
              <w:spacing w:after="0" w:line="240" w:lineRule="auto"/>
            </w:pPr>
            <w:r>
              <w:t>i) Provision to raise literacy/numeracy levels</w:t>
            </w:r>
          </w:p>
          <w:p w14:paraId="5814C986" w14:textId="77777777" w:rsidR="00273223" w:rsidRDefault="00273223" w:rsidP="00273223">
            <w:pPr>
              <w:autoSpaceDE w:val="0"/>
              <w:adjustRightInd w:val="0"/>
              <w:spacing w:after="0" w:line="240" w:lineRule="auto"/>
            </w:pPr>
            <w:r>
              <w:t>ii) Providing social &amp; emotional support/interventions to improve attendance and</w:t>
            </w:r>
          </w:p>
          <w:p w14:paraId="3083F7DE" w14:textId="77777777" w:rsidR="00273223" w:rsidRDefault="00273223" w:rsidP="00273223">
            <w:pPr>
              <w:autoSpaceDE w:val="0"/>
              <w:adjustRightInd w:val="0"/>
              <w:spacing w:after="0" w:line="240" w:lineRule="auto"/>
            </w:pPr>
            <w:r>
              <w:t>behaviour</w:t>
            </w:r>
          </w:p>
          <w:p w14:paraId="51C8BF7D" w14:textId="77777777" w:rsidR="00273223" w:rsidRDefault="00273223" w:rsidP="00273223">
            <w:pPr>
              <w:autoSpaceDE w:val="0"/>
              <w:adjustRightInd w:val="0"/>
              <w:spacing w:after="0" w:line="240" w:lineRule="auto"/>
            </w:pPr>
            <w:r>
              <w:t>iii) Enhanced/improved cultural capital – trips, activities, extra curriculum activities and support with uniform, materials etc.</w:t>
            </w:r>
          </w:p>
          <w:p w14:paraId="1D66EEF6" w14:textId="77777777" w:rsidR="00273223" w:rsidRDefault="00273223" w:rsidP="00273223">
            <w:pPr>
              <w:spacing w:after="0"/>
              <w:rPr>
                <w:sz w:val="32"/>
              </w:rPr>
            </w:pPr>
            <w:r>
              <w:t>iv) Personalised learning, e.g., use of external providers &amp; IAG and CPD for staff to improve teaching and learning.</w:t>
            </w:r>
          </w:p>
          <w:p w14:paraId="10EA10F6" w14:textId="77777777" w:rsidR="00273223" w:rsidRDefault="00273223" w:rsidP="00273223">
            <w:pPr>
              <w:spacing w:after="0"/>
              <w:jc w:val="center"/>
              <w:rPr>
                <w:b/>
                <w:u w:val="single"/>
              </w:rPr>
            </w:pPr>
          </w:p>
          <w:tbl>
            <w:tblPr>
              <w:tblStyle w:val="TableGrid"/>
              <w:tblW w:w="0" w:type="auto"/>
              <w:tblLook w:val="04A0" w:firstRow="1" w:lastRow="0" w:firstColumn="1" w:lastColumn="0" w:noHBand="0" w:noVBand="1"/>
            </w:tblPr>
            <w:tblGrid>
              <w:gridCol w:w="4622"/>
              <w:gridCol w:w="4638"/>
            </w:tblGrid>
            <w:tr w:rsidR="00273223" w14:paraId="0FC83359" w14:textId="77777777" w:rsidTr="0023637F">
              <w:tc>
                <w:tcPr>
                  <w:tcW w:w="7087" w:type="dxa"/>
                </w:tcPr>
                <w:p w14:paraId="7E996CAE" w14:textId="77777777" w:rsidR="00273223" w:rsidRDefault="00273223" w:rsidP="00273223">
                  <w:pPr>
                    <w:pStyle w:val="Default"/>
                    <w:rPr>
                      <w:rFonts w:ascii="Arial" w:hAnsi="Arial" w:cs="Arial"/>
                      <w:szCs w:val="20"/>
                    </w:rPr>
                  </w:pPr>
                  <w:r>
                    <w:rPr>
                      <w:rFonts w:ascii="Arial" w:hAnsi="Arial" w:cs="Arial"/>
                      <w:b/>
                      <w:bCs/>
                      <w:szCs w:val="20"/>
                    </w:rPr>
                    <w:t xml:space="preserve">What areas do we need to improve? </w:t>
                  </w:r>
                </w:p>
                <w:p w14:paraId="5EEB3BB5" w14:textId="77777777" w:rsidR="00273223" w:rsidRDefault="00273223" w:rsidP="00273223">
                  <w:pPr>
                    <w:rPr>
                      <w:b/>
                      <w:u w:val="single"/>
                    </w:rPr>
                  </w:pPr>
                </w:p>
              </w:tc>
              <w:tc>
                <w:tcPr>
                  <w:tcW w:w="7087" w:type="dxa"/>
                </w:tcPr>
                <w:p w14:paraId="015E6932" w14:textId="77777777" w:rsidR="00273223" w:rsidRDefault="00273223" w:rsidP="00273223">
                  <w:pPr>
                    <w:pStyle w:val="Default"/>
                    <w:rPr>
                      <w:rFonts w:ascii="Arial" w:hAnsi="Arial" w:cs="Arial"/>
                    </w:rPr>
                  </w:pPr>
                  <w:r>
                    <w:rPr>
                      <w:rFonts w:ascii="Arial" w:hAnsi="Arial" w:cs="Arial"/>
                    </w:rPr>
                    <w:t xml:space="preserve">Attainment of PPM students at KS3 and KS4 </w:t>
                  </w:r>
                </w:p>
                <w:p w14:paraId="1DF65FDC" w14:textId="77777777" w:rsidR="00273223" w:rsidRDefault="00273223" w:rsidP="00273223">
                  <w:pPr>
                    <w:pStyle w:val="Default"/>
                    <w:rPr>
                      <w:rFonts w:ascii="Arial" w:hAnsi="Arial" w:cs="Arial"/>
                      <w:b/>
                      <w:u w:val="single"/>
                    </w:rPr>
                  </w:pPr>
                  <w:r>
                    <w:rPr>
                      <w:rFonts w:ascii="Arial" w:hAnsi="Arial" w:cs="Arial"/>
                    </w:rPr>
                    <w:t>Improved English and Maths outcomes at KS4</w:t>
                  </w:r>
                </w:p>
              </w:tc>
            </w:tr>
            <w:tr w:rsidR="00273223" w14:paraId="476570E3" w14:textId="77777777" w:rsidTr="0023637F">
              <w:tc>
                <w:tcPr>
                  <w:tcW w:w="7087" w:type="dxa"/>
                </w:tcPr>
                <w:p w14:paraId="0E6693B2" w14:textId="77777777" w:rsidR="00273223" w:rsidRDefault="00273223" w:rsidP="00273223">
                  <w:pPr>
                    <w:pStyle w:val="Default"/>
                    <w:rPr>
                      <w:rFonts w:ascii="Arial" w:hAnsi="Arial" w:cs="Arial"/>
                      <w:szCs w:val="20"/>
                    </w:rPr>
                  </w:pPr>
                  <w:r>
                    <w:rPr>
                      <w:rFonts w:ascii="Arial" w:hAnsi="Arial" w:cs="Arial"/>
                      <w:b/>
                      <w:bCs/>
                      <w:szCs w:val="20"/>
                    </w:rPr>
                    <w:t xml:space="preserve">What </w:t>
                  </w:r>
                  <w:r>
                    <w:rPr>
                      <w:rFonts w:ascii="Arial" w:hAnsi="Arial" w:cs="Arial"/>
                      <w:b/>
                      <w:bCs/>
                      <w:i/>
                      <w:iCs/>
                      <w:szCs w:val="20"/>
                    </w:rPr>
                    <w:t xml:space="preserve">specific </w:t>
                  </w:r>
                  <w:r>
                    <w:rPr>
                      <w:rFonts w:ascii="Arial" w:hAnsi="Arial" w:cs="Arial"/>
                      <w:b/>
                      <w:bCs/>
                      <w:szCs w:val="20"/>
                    </w:rPr>
                    <w:t xml:space="preserve">impact do we intend these actions to have on standards, provision, attitudes, behaviour, efficiency, other? </w:t>
                  </w:r>
                </w:p>
                <w:p w14:paraId="103CD1E5" w14:textId="77777777" w:rsidR="00273223" w:rsidRDefault="00273223" w:rsidP="00273223">
                  <w:pPr>
                    <w:rPr>
                      <w:b/>
                      <w:u w:val="single"/>
                    </w:rPr>
                  </w:pPr>
                </w:p>
              </w:tc>
              <w:tc>
                <w:tcPr>
                  <w:tcW w:w="7087" w:type="dxa"/>
                </w:tcPr>
                <w:p w14:paraId="084CFF32" w14:textId="77777777" w:rsidR="00273223" w:rsidRDefault="00273223" w:rsidP="00273223">
                  <w:pPr>
                    <w:pStyle w:val="Default"/>
                    <w:rPr>
                      <w:rFonts w:ascii="Arial" w:hAnsi="Arial" w:cs="Arial"/>
                    </w:rPr>
                  </w:pPr>
                  <w:r>
                    <w:rPr>
                      <w:rFonts w:ascii="Arial" w:hAnsi="Arial" w:cs="Arial"/>
                    </w:rPr>
                    <w:t xml:space="preserve">Enhance staff awareness of and accountability for PPM outcomes </w:t>
                  </w:r>
                </w:p>
                <w:p w14:paraId="0CE6D774" w14:textId="77777777" w:rsidR="00273223" w:rsidRDefault="00273223" w:rsidP="00273223">
                  <w:pPr>
                    <w:pStyle w:val="Default"/>
                    <w:rPr>
                      <w:rFonts w:ascii="Arial" w:hAnsi="Arial" w:cs="Arial"/>
                    </w:rPr>
                  </w:pPr>
                  <w:r>
                    <w:rPr>
                      <w:rFonts w:ascii="Arial" w:hAnsi="Arial" w:cs="Arial"/>
                      <w:bCs/>
                    </w:rPr>
                    <w:t xml:space="preserve">Improve provision for PPM in lessons and tracking of performance </w:t>
                  </w:r>
                </w:p>
                <w:p w14:paraId="0EE43467" w14:textId="77777777" w:rsidR="00273223" w:rsidRDefault="00273223" w:rsidP="00273223">
                  <w:pPr>
                    <w:pStyle w:val="Default"/>
                    <w:rPr>
                      <w:rFonts w:ascii="Arial" w:hAnsi="Arial" w:cs="Arial"/>
                    </w:rPr>
                  </w:pPr>
                  <w:r>
                    <w:rPr>
                      <w:rFonts w:ascii="Arial" w:hAnsi="Arial" w:cs="Arial"/>
                    </w:rPr>
                    <w:t>I</w:t>
                  </w:r>
                  <w:r>
                    <w:rPr>
                      <w:rFonts w:ascii="Arial" w:hAnsi="Arial" w:cs="Arial"/>
                      <w:bCs/>
                    </w:rPr>
                    <w:t xml:space="preserve">mproved student outcomes </w:t>
                  </w:r>
                </w:p>
                <w:p w14:paraId="63BB188A" w14:textId="77777777" w:rsidR="00273223" w:rsidRDefault="00273223" w:rsidP="00273223">
                  <w:pPr>
                    <w:pStyle w:val="Default"/>
                    <w:rPr>
                      <w:rFonts w:ascii="Arial" w:hAnsi="Arial" w:cs="Arial"/>
                    </w:rPr>
                  </w:pPr>
                  <w:r>
                    <w:rPr>
                      <w:rFonts w:ascii="Arial" w:hAnsi="Arial" w:cs="Arial"/>
                      <w:bCs/>
                    </w:rPr>
                    <w:t xml:space="preserve">Increased Parental engagement in supporting learning </w:t>
                  </w:r>
                </w:p>
                <w:p w14:paraId="1BA94269" w14:textId="77777777" w:rsidR="00273223" w:rsidRDefault="00273223" w:rsidP="00273223">
                  <w:pPr>
                    <w:pStyle w:val="Default"/>
                    <w:rPr>
                      <w:rFonts w:ascii="Arial" w:hAnsi="Arial" w:cs="Arial"/>
                      <w:b/>
                      <w:u w:val="single"/>
                    </w:rPr>
                  </w:pPr>
                  <w:r>
                    <w:rPr>
                      <w:rFonts w:ascii="Arial" w:hAnsi="Arial" w:cs="Arial"/>
                      <w:bCs/>
                    </w:rPr>
                    <w:t xml:space="preserve">Student engagement in extra-curricular </w:t>
                  </w:r>
                </w:p>
              </w:tc>
            </w:tr>
          </w:tbl>
          <w:p w14:paraId="19A89DE4" w14:textId="77777777" w:rsidR="00273223" w:rsidRDefault="00273223" w:rsidP="00273223">
            <w:pPr>
              <w:spacing w:after="0"/>
              <w:rPr>
                <w:rFonts w:cs="Arial"/>
                <w:b/>
                <w:u w:val="single"/>
              </w:rPr>
            </w:pPr>
          </w:p>
          <w:p w14:paraId="2A7D54E9" w14:textId="4823AAB5" w:rsidR="00E66558" w:rsidRPr="00273223" w:rsidRDefault="00E66558" w:rsidP="00F1494D">
            <w:pPr>
              <w:suppressAutoHyphens w:val="0"/>
              <w:autoSpaceDN/>
              <w:spacing w:after="0" w:line="276" w:lineRule="auto"/>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17A76AB" w:rsidR="00E66558" w:rsidRPr="00F908F5" w:rsidRDefault="00273223">
            <w:pPr>
              <w:pStyle w:val="TableRowCentered"/>
              <w:jc w:val="left"/>
              <w:rPr>
                <w:bCs/>
                <w:szCs w:val="24"/>
              </w:rPr>
            </w:pPr>
            <w:r w:rsidRPr="00F908F5">
              <w:rPr>
                <w:bCs/>
                <w:szCs w:val="24"/>
              </w:rPr>
              <w:t>All staff clearly identify support strategies for PPM students</w:t>
            </w:r>
            <w:r w:rsidR="00D44254" w:rsidRPr="00F908F5">
              <w:rPr>
                <w:bCs/>
                <w:szCs w:val="24"/>
              </w:rPr>
              <w:t xml:space="preserve"> not complete</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9AB3DE1" w:rsidR="00E66558" w:rsidRPr="00F908F5" w:rsidRDefault="00D44254">
            <w:pPr>
              <w:pStyle w:val="TableRowCentered"/>
              <w:jc w:val="left"/>
              <w:rPr>
                <w:bCs/>
                <w:szCs w:val="24"/>
              </w:rPr>
            </w:pPr>
            <w:r w:rsidRPr="00F908F5">
              <w:rPr>
                <w:rFonts w:cs="Arial"/>
                <w:bCs/>
                <w:szCs w:val="24"/>
              </w:rPr>
              <w:t>Clear and concise reporting tools not in place for all stakeholders to monitor the impact of PPG spending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8A7DF93" w:rsidR="00E66558" w:rsidRPr="00F908F5" w:rsidRDefault="00791375">
            <w:pPr>
              <w:pStyle w:val="TableRowCentered"/>
              <w:jc w:val="left"/>
              <w:rPr>
                <w:bCs/>
                <w:szCs w:val="24"/>
              </w:rPr>
            </w:pPr>
            <w:r w:rsidRPr="00F908F5">
              <w:rPr>
                <w:rFonts w:cs="Arial"/>
                <w:bCs/>
                <w:szCs w:val="24"/>
              </w:rPr>
              <w:t>Differentiation to ensure all students can access the curriculum not yet embedded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D14A3BD" w:rsidR="00E66558" w:rsidRPr="00F908F5" w:rsidRDefault="00791375">
            <w:pPr>
              <w:pStyle w:val="TableRowCentered"/>
              <w:jc w:val="left"/>
              <w:rPr>
                <w:bCs/>
                <w:iCs/>
                <w:szCs w:val="24"/>
              </w:rPr>
            </w:pPr>
            <w:r w:rsidRPr="00F908F5">
              <w:rPr>
                <w:rFonts w:cs="Arial"/>
                <w:bCs/>
                <w:szCs w:val="24"/>
              </w:rPr>
              <w:t>Clear and concise process in place to track progress of PP students not embedded</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9211CCF" w:rsidR="00E66558" w:rsidRPr="00F908F5" w:rsidRDefault="00791375">
            <w:pPr>
              <w:pStyle w:val="TableRowCentered"/>
              <w:jc w:val="left"/>
              <w:rPr>
                <w:bCs/>
                <w:iCs/>
                <w:szCs w:val="24"/>
              </w:rPr>
            </w:pPr>
            <w:r w:rsidRPr="00F908F5">
              <w:rPr>
                <w:rFonts w:cs="Arial"/>
                <w:bCs/>
                <w:szCs w:val="24"/>
              </w:rPr>
              <w:t>Clear and concise processes not in place to monitor effectiveness of PPG spending and impact</w:t>
            </w:r>
          </w:p>
        </w:tc>
      </w:tr>
      <w:tr w:rsidR="00273223" w14:paraId="786BCAD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2DDD9" w14:textId="2BD9B88E" w:rsidR="00273223" w:rsidRDefault="0027322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590AA" w14:textId="76FC266C" w:rsidR="00273223" w:rsidRPr="00F908F5" w:rsidRDefault="00791375">
            <w:pPr>
              <w:pStyle w:val="TableRowCentered"/>
              <w:jc w:val="left"/>
              <w:rPr>
                <w:bCs/>
                <w:iCs/>
                <w:szCs w:val="24"/>
              </w:rPr>
            </w:pPr>
            <w:r w:rsidRPr="00F908F5">
              <w:rPr>
                <w:rFonts w:cs="Arial"/>
                <w:bCs/>
                <w:szCs w:val="24"/>
              </w:rPr>
              <w:t xml:space="preserve">PPM students </w:t>
            </w:r>
            <w:r w:rsidR="00454160" w:rsidRPr="00F908F5">
              <w:rPr>
                <w:rFonts w:cs="Arial"/>
                <w:bCs/>
                <w:szCs w:val="24"/>
              </w:rPr>
              <w:t>reading</w:t>
            </w:r>
            <w:r w:rsidRPr="00F908F5">
              <w:rPr>
                <w:rFonts w:cs="Arial"/>
                <w:bCs/>
                <w:szCs w:val="24"/>
              </w:rPr>
              <w:t xml:space="preserve"> ages upon completion of school are below expectation</w:t>
            </w:r>
          </w:p>
        </w:tc>
      </w:tr>
      <w:tr w:rsidR="00273223" w14:paraId="280E590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BDF95" w14:textId="5A89F35B" w:rsidR="00273223" w:rsidRDefault="00273223">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D16BE" w14:textId="7FCD9E75" w:rsidR="00273223" w:rsidRPr="00F908F5" w:rsidRDefault="00791375">
            <w:pPr>
              <w:pStyle w:val="TableRowCentered"/>
              <w:jc w:val="left"/>
              <w:rPr>
                <w:bCs/>
                <w:iCs/>
                <w:szCs w:val="24"/>
              </w:rPr>
            </w:pPr>
            <w:r w:rsidRPr="00F908F5">
              <w:rPr>
                <w:rFonts w:cs="Arial"/>
                <w:bCs/>
                <w:szCs w:val="24"/>
              </w:rPr>
              <w:t>Currently not all students leave with both Maths and English at an appropriate level based on ability</w:t>
            </w:r>
          </w:p>
        </w:tc>
      </w:tr>
      <w:tr w:rsidR="00273223" w14:paraId="5CC27A4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69E05" w14:textId="7949C6BE" w:rsidR="00273223" w:rsidRDefault="00273223">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F16C" w14:textId="0A69E6CC" w:rsidR="00273223" w:rsidRPr="00F908F5" w:rsidRDefault="00791375" w:rsidP="00791375">
            <w:pPr>
              <w:pStyle w:val="TableRowCentered"/>
              <w:jc w:val="left"/>
              <w:rPr>
                <w:bCs/>
                <w:iCs/>
                <w:szCs w:val="24"/>
              </w:rPr>
            </w:pPr>
            <w:r w:rsidRPr="00F908F5">
              <w:rPr>
                <w:bCs/>
                <w:szCs w:val="24"/>
              </w:rPr>
              <w:t>All students receive the required level of support to access and engage with their education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846F9EB" w:rsidR="00E66558" w:rsidRPr="00F908F5" w:rsidRDefault="00791375">
            <w:pPr>
              <w:pStyle w:val="TableRow"/>
            </w:pPr>
            <w:r w:rsidRPr="00F908F5">
              <w:rPr>
                <w:bCs/>
              </w:rPr>
              <w:t>Review the role of STA/TA staff</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3AE538B" w:rsidR="00E66558" w:rsidRPr="00F908F5" w:rsidRDefault="00791375">
            <w:pPr>
              <w:pStyle w:val="TableRowCentered"/>
              <w:jc w:val="left"/>
              <w:rPr>
                <w:rFonts w:cs="Arial"/>
                <w:bCs/>
                <w:szCs w:val="24"/>
              </w:rPr>
            </w:pPr>
            <w:r w:rsidRPr="00F908F5">
              <w:rPr>
                <w:rFonts w:cs="Arial"/>
                <w:bCs/>
                <w:szCs w:val="24"/>
              </w:rPr>
              <w:t>All STA/TA Interventions are targeted at PPM students to achieve maximum impact. All teaching staff are fully aware of the role of STA/TA</w:t>
            </w:r>
          </w:p>
        </w:tc>
      </w:tr>
      <w:tr w:rsidR="0079137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4363610" w:rsidR="00791375" w:rsidRPr="00F908F5" w:rsidRDefault="00791375" w:rsidP="00791375">
            <w:pPr>
              <w:pStyle w:val="TableRow"/>
            </w:pPr>
            <w:r w:rsidRPr="00F908F5">
              <w:rPr>
                <w:rFonts w:cs="Arial"/>
                <w:bCs/>
              </w:rPr>
              <w:t>Additional intervention in Y11 to support Ma and Eng.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97343AC" w:rsidR="00791375" w:rsidRPr="00F908F5" w:rsidRDefault="00791375" w:rsidP="00791375">
            <w:pPr>
              <w:pStyle w:val="TableRowCentered"/>
              <w:jc w:val="left"/>
              <w:rPr>
                <w:rFonts w:cs="Arial"/>
                <w:bCs/>
                <w:szCs w:val="24"/>
              </w:rPr>
            </w:pPr>
            <w:r w:rsidRPr="00F908F5">
              <w:rPr>
                <w:rFonts w:cs="Arial"/>
                <w:bCs/>
                <w:szCs w:val="24"/>
              </w:rPr>
              <w:t>Improvement in Maths and English outcomes – increased attainment of students leaving school with both English and Maths qualifications based on prior attainment</w:t>
            </w:r>
          </w:p>
        </w:tc>
      </w:tr>
      <w:tr w:rsidR="0079137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77A9100" w:rsidR="00791375" w:rsidRPr="00F908F5" w:rsidRDefault="00791375" w:rsidP="00791375">
            <w:pPr>
              <w:pStyle w:val="TableRow"/>
            </w:pPr>
            <w:r w:rsidRPr="00F908F5">
              <w:rPr>
                <w:rFonts w:cs="Arial"/>
                <w:bCs/>
              </w:rPr>
              <w:t>Develop robust Literacy Intervention Strategy to boost levels across the school – PPM Students to read in lessons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3064B5E0" w:rsidR="00791375" w:rsidRPr="00F908F5" w:rsidRDefault="00791375" w:rsidP="00791375">
            <w:pPr>
              <w:pStyle w:val="TableRowCentered"/>
              <w:jc w:val="left"/>
              <w:rPr>
                <w:rFonts w:cs="Arial"/>
                <w:bCs/>
                <w:szCs w:val="24"/>
              </w:rPr>
            </w:pPr>
            <w:r w:rsidRPr="00F908F5">
              <w:rPr>
                <w:rFonts w:cs="Arial"/>
                <w:bCs/>
                <w:szCs w:val="24"/>
              </w:rPr>
              <w:t>Improvement in targeted students’ reading ages</w:t>
            </w:r>
          </w:p>
        </w:tc>
      </w:tr>
      <w:tr w:rsidR="0079137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E9B1D0F" w:rsidR="00791375" w:rsidRPr="00F908F5" w:rsidRDefault="00791375" w:rsidP="00791375">
            <w:pPr>
              <w:pStyle w:val="TableRow"/>
            </w:pPr>
            <w:r w:rsidRPr="00F908F5">
              <w:rPr>
                <w:rFonts w:cs="Arial"/>
                <w:bCs/>
              </w:rPr>
              <w:t>Provision map further developed and used effectively to monitor the quality, impact, and value for money of funding for provision and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2833F" w14:textId="77777777" w:rsidR="00791375" w:rsidRPr="00F908F5" w:rsidRDefault="00791375" w:rsidP="00791375">
            <w:pPr>
              <w:pStyle w:val="Default"/>
              <w:rPr>
                <w:rFonts w:ascii="Arial" w:hAnsi="Arial" w:cs="Arial"/>
                <w:bCs/>
              </w:rPr>
            </w:pPr>
            <w:r w:rsidRPr="00F908F5">
              <w:rPr>
                <w:rFonts w:ascii="Arial" w:hAnsi="Arial" w:cs="Arial"/>
                <w:bCs/>
              </w:rPr>
              <w:t xml:space="preserve">End of year results and progress made to narrow the gap </w:t>
            </w:r>
          </w:p>
          <w:p w14:paraId="2A7D550E" w14:textId="12F1F98E" w:rsidR="00791375" w:rsidRPr="00F908F5" w:rsidRDefault="00791375" w:rsidP="00791375">
            <w:pPr>
              <w:pStyle w:val="TableRowCentered"/>
              <w:jc w:val="left"/>
              <w:rPr>
                <w:rFonts w:cs="Arial"/>
                <w:bCs/>
                <w:szCs w:val="24"/>
              </w:rPr>
            </w:pPr>
            <w:r w:rsidRPr="00F908F5">
              <w:rPr>
                <w:rFonts w:cs="Arial"/>
                <w:bCs/>
                <w:szCs w:val="24"/>
              </w:rPr>
              <w:t>All funding spent</w:t>
            </w:r>
          </w:p>
        </w:tc>
      </w:tr>
      <w:tr w:rsidR="00791375" w14:paraId="63FBCE0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74717" w14:textId="52CB4910" w:rsidR="00791375" w:rsidRPr="00F908F5" w:rsidRDefault="00791375" w:rsidP="00791375">
            <w:pPr>
              <w:pStyle w:val="TableRow"/>
              <w:rPr>
                <w:rFonts w:cs="Arial"/>
                <w:bCs/>
              </w:rPr>
            </w:pPr>
            <w:r w:rsidRPr="00F908F5">
              <w:rPr>
                <w:rFonts w:cs="Arial"/>
                <w:bCs/>
              </w:rPr>
              <w:t>Group’s academic progress tracked discretely at year group and whole-school level three times a year (once a term)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8C22C" w14:textId="77777777" w:rsidR="00791375" w:rsidRPr="00F908F5" w:rsidRDefault="00791375" w:rsidP="00791375">
            <w:pPr>
              <w:pStyle w:val="Default"/>
              <w:rPr>
                <w:rFonts w:ascii="Arial" w:hAnsi="Arial" w:cs="Arial"/>
                <w:bCs/>
              </w:rPr>
            </w:pPr>
            <w:r w:rsidRPr="00F908F5">
              <w:rPr>
                <w:rFonts w:ascii="Arial" w:hAnsi="Arial" w:cs="Arial"/>
                <w:bCs/>
              </w:rPr>
              <w:t xml:space="preserve">Interventions planned because of tracking by SLs and SLT </w:t>
            </w:r>
          </w:p>
          <w:p w14:paraId="293E1629" w14:textId="77777777" w:rsidR="00791375" w:rsidRPr="00F908F5" w:rsidRDefault="00791375" w:rsidP="00791375">
            <w:pPr>
              <w:rPr>
                <w:rFonts w:cs="Arial"/>
                <w:bCs/>
              </w:rPr>
            </w:pPr>
            <w:r w:rsidRPr="00F908F5">
              <w:rPr>
                <w:rFonts w:cs="Arial"/>
                <w:bCs/>
              </w:rPr>
              <w:t>Book looks include group as focus</w:t>
            </w:r>
          </w:p>
          <w:p w14:paraId="4DE4E641" w14:textId="77777777" w:rsidR="00791375" w:rsidRPr="00F908F5" w:rsidRDefault="00791375" w:rsidP="00791375">
            <w:pPr>
              <w:rPr>
                <w:rFonts w:cs="Arial"/>
                <w:bCs/>
              </w:rPr>
            </w:pPr>
            <w:r w:rsidRPr="00F908F5">
              <w:rPr>
                <w:rFonts w:cs="Arial"/>
                <w:bCs/>
              </w:rPr>
              <w:t>Parents to attend all reviews</w:t>
            </w:r>
          </w:p>
          <w:p w14:paraId="7C5F02D0" w14:textId="616230C4" w:rsidR="00791375" w:rsidRPr="00F908F5" w:rsidRDefault="00791375" w:rsidP="00791375">
            <w:pPr>
              <w:pStyle w:val="Default"/>
              <w:rPr>
                <w:rFonts w:ascii="Arial" w:hAnsi="Arial" w:cs="Arial"/>
                <w:bCs/>
              </w:rPr>
            </w:pPr>
            <w:r w:rsidRPr="00F908F5">
              <w:rPr>
                <w:rFonts w:ascii="Arial" w:hAnsi="Arial" w:cs="Arial"/>
                <w:bCs/>
              </w:rPr>
              <w:t>SL meetings once a term to track progress of PPM students</w:t>
            </w:r>
          </w:p>
        </w:tc>
      </w:tr>
      <w:tr w:rsidR="00791375" w14:paraId="402487E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35BEE" w14:textId="245775A6" w:rsidR="00791375" w:rsidRPr="00F908F5" w:rsidRDefault="00791375" w:rsidP="00791375">
            <w:pPr>
              <w:pStyle w:val="TableRow"/>
              <w:rPr>
                <w:rFonts w:cs="Arial"/>
                <w:bCs/>
              </w:rPr>
            </w:pPr>
            <w:r w:rsidRPr="00F908F5">
              <w:rPr>
                <w:rFonts w:cs="Arial"/>
                <w:bCs/>
              </w:rPr>
              <w:lastRenderedPageBreak/>
              <w:t>Access to in- class differentiation is established, and now good practice needs to be shared – including Triangles of Inclusion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6E2F9" w14:textId="77777777" w:rsidR="00791375" w:rsidRPr="00F908F5" w:rsidRDefault="00791375" w:rsidP="00791375">
            <w:pPr>
              <w:pStyle w:val="Default"/>
              <w:rPr>
                <w:rFonts w:ascii="Arial" w:hAnsi="Arial" w:cs="Arial"/>
              </w:rPr>
            </w:pPr>
            <w:r w:rsidRPr="00F908F5">
              <w:rPr>
                <w:rFonts w:ascii="Arial" w:hAnsi="Arial" w:cs="Arial"/>
              </w:rPr>
              <w:t xml:space="preserve">‘What works well’ and Triangles of Inclusion for PPM etc. in lessons is established </w:t>
            </w:r>
          </w:p>
          <w:p w14:paraId="665AB026" w14:textId="77777777" w:rsidR="00791375" w:rsidRPr="00F908F5" w:rsidRDefault="00791375" w:rsidP="00791375">
            <w:pPr>
              <w:pStyle w:val="Default"/>
              <w:rPr>
                <w:rFonts w:ascii="Arial" w:hAnsi="Arial" w:cs="Arial"/>
              </w:rPr>
            </w:pPr>
          </w:p>
        </w:tc>
      </w:tr>
      <w:tr w:rsidR="00791375" w14:paraId="5A98756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EEF13" w14:textId="6D6894EC" w:rsidR="00791375" w:rsidRPr="00F908F5" w:rsidRDefault="00791375" w:rsidP="00791375">
            <w:pPr>
              <w:pStyle w:val="TableRow"/>
              <w:rPr>
                <w:rFonts w:cs="Arial"/>
                <w:bCs/>
              </w:rPr>
            </w:pPr>
            <w:r w:rsidRPr="00F908F5">
              <w:rPr>
                <w:rFonts w:cs="Arial"/>
                <w:bCs/>
              </w:rPr>
              <w:t>Ensure transparency of use of pupil premium funding in relation to its impact on student achievement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0D6A4" w14:textId="77777777" w:rsidR="00791375" w:rsidRPr="00F908F5" w:rsidRDefault="00791375" w:rsidP="00791375">
            <w:pPr>
              <w:pStyle w:val="Default"/>
              <w:rPr>
                <w:rFonts w:ascii="Arial" w:hAnsi="Arial" w:cs="Arial"/>
              </w:rPr>
            </w:pPr>
            <w:r w:rsidRPr="00F908F5">
              <w:rPr>
                <w:rFonts w:ascii="Arial" w:hAnsi="Arial" w:cs="Arial"/>
              </w:rPr>
              <w:t xml:space="preserve">Details on website </w:t>
            </w:r>
          </w:p>
          <w:p w14:paraId="724709B2" w14:textId="77777777" w:rsidR="00791375" w:rsidRPr="00F908F5" w:rsidRDefault="00791375" w:rsidP="00791375">
            <w:pPr>
              <w:pStyle w:val="Default"/>
              <w:rPr>
                <w:rFonts w:ascii="Arial" w:hAnsi="Arial" w:cs="Arial"/>
              </w:rPr>
            </w:pPr>
            <w:r w:rsidRPr="00F908F5">
              <w:rPr>
                <w:rFonts w:ascii="Arial" w:hAnsi="Arial" w:cs="Arial"/>
              </w:rPr>
              <w:t xml:space="preserve">Report to SLT and governors </w:t>
            </w:r>
          </w:p>
          <w:p w14:paraId="2A069BEC" w14:textId="2A4BF3BE" w:rsidR="00791375" w:rsidRPr="00F908F5" w:rsidRDefault="00791375" w:rsidP="00791375">
            <w:pPr>
              <w:pStyle w:val="Default"/>
              <w:rPr>
                <w:rFonts w:ascii="Arial" w:hAnsi="Arial" w:cs="Arial"/>
              </w:rPr>
            </w:pPr>
            <w:r w:rsidRPr="00F908F5">
              <w:rPr>
                <w:rFonts w:ascii="Arial" w:hAnsi="Arial" w:cs="Arial"/>
              </w:rPr>
              <w:t>Information shared with PPM students, staff, and parents</w:t>
            </w:r>
          </w:p>
        </w:tc>
      </w:tr>
      <w:tr w:rsidR="00791375" w14:paraId="46D4A58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F60A" w14:textId="0C84A0A8" w:rsidR="00791375" w:rsidRPr="00F908F5" w:rsidRDefault="00D44254" w:rsidP="00791375">
            <w:pPr>
              <w:pStyle w:val="TableRow"/>
              <w:rPr>
                <w:rFonts w:cs="Arial"/>
                <w:bCs/>
              </w:rPr>
            </w:pPr>
            <w:r w:rsidRPr="00F908F5">
              <w:rPr>
                <w:bCs/>
              </w:rPr>
              <w:t>All staff clearly identify support strategies for PPM students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AA35" w14:textId="6FCCB9C1" w:rsidR="00791375" w:rsidRPr="00F908F5" w:rsidRDefault="00D44254" w:rsidP="00791375">
            <w:pPr>
              <w:pStyle w:val="Default"/>
              <w:rPr>
                <w:rFonts w:ascii="Arial" w:hAnsi="Arial" w:cs="Arial"/>
              </w:rPr>
            </w:pPr>
            <w:r w:rsidRPr="00F908F5">
              <w:rPr>
                <w:rFonts w:ascii="Arial" w:hAnsi="Arial" w:cs="Arial"/>
              </w:rPr>
              <w:t>Observations and Work scrutinies show use of strategies in teacher planning and lessons</w:t>
            </w:r>
          </w:p>
        </w:tc>
      </w:tr>
      <w:tr w:rsidR="00B9160E" w14:paraId="3A00D59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8168" w14:textId="62553B24" w:rsidR="00B9160E" w:rsidRPr="00F908F5" w:rsidRDefault="00B9160E" w:rsidP="00791375">
            <w:pPr>
              <w:pStyle w:val="TableRow"/>
              <w:rPr>
                <w:bCs/>
              </w:rPr>
            </w:pPr>
            <w:r>
              <w:rPr>
                <w:bCs/>
              </w:rPr>
              <w:t>Creation of additional teaching and support staff to further the recovery from Covid-19</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D40EF" w14:textId="0B654C07" w:rsidR="00B9160E" w:rsidRPr="00F908F5" w:rsidRDefault="00B9160E" w:rsidP="00791375">
            <w:pPr>
              <w:pStyle w:val="Default"/>
              <w:rPr>
                <w:rFonts w:ascii="Arial" w:hAnsi="Arial" w:cs="Arial"/>
              </w:rPr>
            </w:pPr>
            <w:r>
              <w:rPr>
                <w:rFonts w:ascii="Arial" w:hAnsi="Arial" w:cs="Arial"/>
              </w:rPr>
              <w:t>Increased attendance, reduced negative behaviour and enhanced outcomes academically</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B44078D" w:rsidR="00E66558" w:rsidRDefault="009D71E8">
      <w:r>
        <w:t xml:space="preserve">Budgeted cost: </w:t>
      </w:r>
      <w:r w:rsidRPr="00432424">
        <w:t>£</w:t>
      </w:r>
      <w:r w:rsidR="00432424">
        <w:t>73</w:t>
      </w:r>
      <w:r w:rsidR="00F908F5" w:rsidRPr="00432424">
        <w:t>,</w:t>
      </w:r>
      <w:r w:rsidR="00432424">
        <w:t>420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EE1F40F" w:rsidR="00E66558" w:rsidRPr="002B0EC6" w:rsidRDefault="00E908F2">
            <w:pPr>
              <w:pStyle w:val="TableRow"/>
              <w:rPr>
                <w:iCs/>
                <w:sz w:val="22"/>
              </w:rPr>
            </w:pPr>
            <w:r>
              <w:rPr>
                <w:iCs/>
                <w:sz w:val="22"/>
              </w:rPr>
              <w:t xml:space="preserve">Creation of a specific Intervention Tutor role to lead on </w:t>
            </w:r>
            <w:r w:rsidR="00B24170" w:rsidRPr="004C6177">
              <w:rPr>
                <w:color w:val="auto"/>
                <w:lang w:eastAsia="en-US"/>
              </w:rPr>
              <w:t>20-minute</w:t>
            </w:r>
            <w:r w:rsidRPr="004C6177">
              <w:rPr>
                <w:color w:val="auto"/>
                <w:lang w:eastAsia="en-US"/>
              </w:rPr>
              <w:t xml:space="preserve"> sessions on language comprehension from a lead practitioner for disadvantaged pupils that require further support. Each pupil to receive two sessions per week for one term.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6814" w14:textId="77777777" w:rsidR="00111324" w:rsidRPr="004C6177" w:rsidRDefault="00111324" w:rsidP="00111324">
            <w:pPr>
              <w:widowControl w:val="0"/>
              <w:suppressAutoHyphens w:val="0"/>
              <w:overflowPunct w:val="0"/>
              <w:autoSpaceDE w:val="0"/>
              <w:spacing w:before="60" w:after="60" w:line="240" w:lineRule="auto"/>
              <w:ind w:left="37"/>
              <w:rPr>
                <w:color w:val="auto"/>
                <w:lang w:eastAsia="en-US"/>
              </w:rPr>
            </w:pPr>
            <w:r w:rsidRPr="004C6177">
              <w:rPr>
                <w:color w:val="auto"/>
                <w:lang w:eastAsia="en-US"/>
              </w:rPr>
              <w:t xml:space="preserve">Understanding the meaning of a text requires a combination of word recognition and language comprehension: </w:t>
            </w:r>
          </w:p>
          <w:p w14:paraId="158524E3" w14:textId="75982522" w:rsidR="00E66558" w:rsidRDefault="004460FE" w:rsidP="00111324">
            <w:pPr>
              <w:pStyle w:val="TableRowCentered"/>
              <w:jc w:val="left"/>
              <w:rPr>
                <w:color w:val="0070C0"/>
                <w:u w:val="single"/>
              </w:rPr>
            </w:pPr>
            <w:hyperlink r:id="rId7" w:history="1">
              <w:r w:rsidR="00111324" w:rsidRPr="00B10C31">
                <w:rPr>
                  <w:color w:val="0070C0"/>
                  <w:u w:val="single"/>
                </w:rPr>
                <w:t xml:space="preserve">Learning to Read: “The Simple View of Reading” | National </w:t>
              </w:r>
              <w:r w:rsidR="00B24170" w:rsidRPr="00B10C31">
                <w:rPr>
                  <w:color w:val="0070C0"/>
                  <w:u w:val="single"/>
                </w:rPr>
                <w:t>Centre</w:t>
              </w:r>
              <w:r w:rsidR="00111324" w:rsidRPr="00B10C31">
                <w:rPr>
                  <w:color w:val="0070C0"/>
                  <w:u w:val="single"/>
                </w:rPr>
                <w:t xml:space="preserve"> on Improving Literacy</w:t>
              </w:r>
            </w:hyperlink>
          </w:p>
          <w:p w14:paraId="76655A3F" w14:textId="77777777" w:rsidR="00111324" w:rsidRDefault="00111324" w:rsidP="00111324">
            <w:pPr>
              <w:pStyle w:val="TableRowCentered"/>
              <w:jc w:val="left"/>
              <w:rPr>
                <w:color w:val="0070C0"/>
                <w:u w:val="single"/>
              </w:rPr>
            </w:pPr>
          </w:p>
          <w:p w14:paraId="477B0957" w14:textId="77777777" w:rsidR="00111324" w:rsidRPr="00111324" w:rsidRDefault="00111324" w:rsidP="00F908F5">
            <w:pPr>
              <w:pStyle w:val="TableRowCentered"/>
              <w:spacing w:after="0"/>
              <w:jc w:val="left"/>
              <w:rPr>
                <w:color w:val="auto"/>
              </w:rPr>
            </w:pPr>
            <w:r w:rsidRPr="00111324">
              <w:rPr>
                <w:color w:val="auto"/>
              </w:rPr>
              <w:t>Lexia:</w:t>
            </w:r>
          </w:p>
          <w:p w14:paraId="116DC622" w14:textId="77777777" w:rsidR="00111324" w:rsidRPr="00F908F5" w:rsidRDefault="00111324" w:rsidP="00F908F5">
            <w:pPr>
              <w:numPr>
                <w:ilvl w:val="0"/>
                <w:numId w:val="16"/>
              </w:numPr>
              <w:suppressAutoHyphens w:val="0"/>
              <w:autoSpaceDN/>
              <w:spacing w:after="100" w:afterAutospacing="1" w:line="345" w:lineRule="atLeast"/>
              <w:rPr>
                <w:rFonts w:cs="Arial"/>
                <w:color w:val="auto"/>
              </w:rPr>
            </w:pPr>
            <w:r w:rsidRPr="00F908F5">
              <w:rPr>
                <w:rFonts w:cs="Arial"/>
                <w:color w:val="auto"/>
              </w:rPr>
              <w:t>Struggling readers achieved +2 months’ progress compared to non-users in as little as 16 hours of program use.</w:t>
            </w:r>
          </w:p>
          <w:p w14:paraId="3B56B5C8" w14:textId="77777777" w:rsidR="00111324" w:rsidRPr="00F908F5" w:rsidRDefault="00111324" w:rsidP="00111324">
            <w:pPr>
              <w:numPr>
                <w:ilvl w:val="0"/>
                <w:numId w:val="16"/>
              </w:numPr>
              <w:suppressAutoHyphens w:val="0"/>
              <w:autoSpaceDN/>
              <w:spacing w:before="100" w:beforeAutospacing="1" w:after="100" w:afterAutospacing="1" w:line="345" w:lineRule="atLeast"/>
              <w:rPr>
                <w:rFonts w:cs="Arial"/>
                <w:color w:val="auto"/>
              </w:rPr>
            </w:pPr>
            <w:r w:rsidRPr="00F908F5">
              <w:rPr>
                <w:rFonts w:cs="Arial"/>
                <w:color w:val="auto"/>
              </w:rPr>
              <w:t>EEF awarded a high ‘padlock’ rating, enabling schools to draw strong conclusions on impact.</w:t>
            </w:r>
          </w:p>
          <w:p w14:paraId="088892AD" w14:textId="77777777" w:rsidR="00111324" w:rsidRPr="00F908F5" w:rsidRDefault="00111324" w:rsidP="00111324">
            <w:pPr>
              <w:numPr>
                <w:ilvl w:val="0"/>
                <w:numId w:val="16"/>
              </w:numPr>
              <w:suppressAutoHyphens w:val="0"/>
              <w:autoSpaceDN/>
              <w:spacing w:before="100" w:beforeAutospacing="1" w:after="100" w:afterAutospacing="1" w:line="345" w:lineRule="atLeast"/>
              <w:rPr>
                <w:rFonts w:cs="Arial"/>
                <w:color w:val="auto"/>
              </w:rPr>
            </w:pPr>
            <w:r w:rsidRPr="00F908F5">
              <w:rPr>
                <w:rFonts w:cs="Arial"/>
                <w:color w:val="auto"/>
              </w:rPr>
              <w:lastRenderedPageBreak/>
              <w:t>The study deemed Lexia as a ‘very low cost’ program.</w:t>
            </w:r>
          </w:p>
          <w:p w14:paraId="7A6FA23A" w14:textId="77777777" w:rsidR="00111324" w:rsidRPr="00F908F5" w:rsidRDefault="00111324" w:rsidP="00111324">
            <w:pPr>
              <w:numPr>
                <w:ilvl w:val="0"/>
                <w:numId w:val="16"/>
              </w:numPr>
              <w:suppressAutoHyphens w:val="0"/>
              <w:autoSpaceDN/>
              <w:spacing w:before="100" w:beforeAutospacing="1" w:after="100" w:afterAutospacing="1" w:line="345" w:lineRule="atLeast"/>
              <w:rPr>
                <w:rFonts w:cs="Arial"/>
                <w:color w:val="auto"/>
              </w:rPr>
            </w:pPr>
            <w:r w:rsidRPr="00F908F5">
              <w:rPr>
                <w:rFonts w:cs="Arial"/>
                <w:color w:val="auto"/>
              </w:rPr>
              <w:t>Fidelity of implementation in schools was ‘high’</w:t>
            </w:r>
          </w:p>
          <w:p w14:paraId="2A7D551F" w14:textId="43524DAF" w:rsidR="00111324" w:rsidRDefault="00111324" w:rsidP="0011132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F392D24" w:rsidR="00E66558" w:rsidRDefault="00111324">
            <w:pPr>
              <w:pStyle w:val="TableRowCentered"/>
              <w:jc w:val="left"/>
              <w:rPr>
                <w:sz w:val="22"/>
              </w:rPr>
            </w:pPr>
            <w:r>
              <w:rPr>
                <w:sz w:val="22"/>
              </w:rPr>
              <w:lastRenderedPageBreak/>
              <w:t>3,6,7</w:t>
            </w:r>
          </w:p>
        </w:tc>
      </w:tr>
      <w:tr w:rsidR="00BB0E30" w14:paraId="001F41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557C1" w14:textId="4A1B8D49" w:rsidR="00BB0E30" w:rsidRDefault="00BB0E30">
            <w:pPr>
              <w:pStyle w:val="TableRow"/>
              <w:rPr>
                <w:iCs/>
                <w:sz w:val="22"/>
              </w:rPr>
            </w:pPr>
            <w:r w:rsidRPr="004C6177">
              <w:rPr>
                <w:rFonts w:cs="Arial"/>
                <w:color w:val="auto"/>
              </w:rPr>
              <w:t>CPD for teaching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C44B" w14:textId="77777777" w:rsidR="00BB0E30" w:rsidRPr="004C6177" w:rsidRDefault="00BB0E30" w:rsidP="00BB0E30">
            <w:pPr>
              <w:widowControl w:val="0"/>
              <w:suppressAutoHyphens w:val="0"/>
              <w:overflowPunct w:val="0"/>
              <w:autoSpaceDE w:val="0"/>
              <w:spacing w:before="60" w:after="60" w:line="240" w:lineRule="auto"/>
              <w:ind w:left="36"/>
              <w:rPr>
                <w:rFonts w:cs="Arial"/>
                <w:color w:val="auto"/>
                <w:lang w:eastAsia="en-US"/>
              </w:rPr>
            </w:pPr>
            <w:r w:rsidRPr="004C6177">
              <w:rPr>
                <w:rFonts w:cs="Arial"/>
                <w:color w:val="auto"/>
                <w:lang w:eastAsia="en-US"/>
              </w:rPr>
              <w:t>Evidence from cognitive science suggests that teachers must carefully introduce new content to pupils to ensure they can reference this against existing knowledge:</w:t>
            </w:r>
          </w:p>
          <w:p w14:paraId="485453FD" w14:textId="596C1CC7" w:rsidR="00BB0E30" w:rsidRPr="004C6177" w:rsidRDefault="004460FE" w:rsidP="00BB0E30">
            <w:pPr>
              <w:widowControl w:val="0"/>
              <w:suppressAutoHyphens w:val="0"/>
              <w:overflowPunct w:val="0"/>
              <w:autoSpaceDE w:val="0"/>
              <w:spacing w:before="60" w:after="60" w:line="240" w:lineRule="auto"/>
              <w:ind w:left="37"/>
              <w:rPr>
                <w:color w:val="auto"/>
                <w:lang w:eastAsia="en-US"/>
              </w:rPr>
            </w:pPr>
            <w:hyperlink r:id="rId8" w:history="1">
              <w:r w:rsidR="00BB0E30" w:rsidRPr="00B10C31">
                <w:rPr>
                  <w:color w:val="0070C0"/>
                  <w:u w:val="single"/>
                </w:rPr>
                <w:t>Cognitive Load Theory and its application in the classroom – The Early Career Hub (chartered.college)</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6F8AF" w14:textId="7826ADBB" w:rsidR="00BB0E30" w:rsidRDefault="00BB0E30">
            <w:pPr>
              <w:pStyle w:val="TableRowCentered"/>
              <w:jc w:val="left"/>
              <w:rPr>
                <w:sz w:val="22"/>
              </w:rPr>
            </w:pPr>
            <w:r>
              <w:rPr>
                <w:sz w:val="22"/>
              </w:rPr>
              <w:t>1,3,8</w:t>
            </w:r>
          </w:p>
        </w:tc>
      </w:tr>
      <w:tr w:rsidR="00E17831" w14:paraId="250D685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F0267" w14:textId="5F91B590" w:rsidR="00E17831" w:rsidRPr="004C6177" w:rsidRDefault="00E17831">
            <w:pPr>
              <w:pStyle w:val="TableRow"/>
              <w:rPr>
                <w:rFonts w:cs="Arial"/>
                <w:color w:val="auto"/>
              </w:rPr>
            </w:pPr>
            <w:r>
              <w:rPr>
                <w:rFonts w:cs="Arial"/>
                <w:color w:val="auto"/>
              </w:rPr>
              <w:t>Clear identification</w:t>
            </w:r>
            <w:r w:rsidR="000038E6">
              <w:rPr>
                <w:rFonts w:cs="Arial"/>
                <w:color w:val="auto"/>
              </w:rPr>
              <w:t xml:space="preserve"> of SLT responsibility for Pupil Premium to enhance staff and student engagement and tracking of PPG spending impact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BF938" w14:textId="58F37BC5" w:rsidR="00E17831" w:rsidRPr="004C6177" w:rsidRDefault="000038E6" w:rsidP="00BB0E30">
            <w:pPr>
              <w:widowControl w:val="0"/>
              <w:suppressAutoHyphens w:val="0"/>
              <w:overflowPunct w:val="0"/>
              <w:autoSpaceDE w:val="0"/>
              <w:spacing w:before="60" w:after="60" w:line="240" w:lineRule="auto"/>
              <w:ind w:left="36"/>
              <w:rPr>
                <w:rFonts w:cs="Arial"/>
                <w:color w:val="auto"/>
                <w:lang w:eastAsia="en-US"/>
              </w:rPr>
            </w:pPr>
            <w:r>
              <w:rPr>
                <w:rFonts w:cs="Arial"/>
                <w:color w:val="auto"/>
                <w:lang w:eastAsia="en-US"/>
              </w:rPr>
              <w:t xml:space="preserve">Evidence and experience </w:t>
            </w:r>
            <w:r w:rsidR="00B24170">
              <w:rPr>
                <w:rFonts w:cs="Arial"/>
                <w:color w:val="auto"/>
                <w:lang w:eastAsia="en-US"/>
              </w:rPr>
              <w:t>suggest</w:t>
            </w:r>
            <w:r>
              <w:rPr>
                <w:rFonts w:cs="Arial"/>
                <w:color w:val="auto"/>
                <w:lang w:eastAsia="en-US"/>
              </w:rPr>
              <w:t xml:space="preserve"> that where PPG spending is led on </w:t>
            </w:r>
            <w:r w:rsidR="00B24170">
              <w:rPr>
                <w:rFonts w:cs="Arial"/>
                <w:color w:val="auto"/>
                <w:lang w:eastAsia="en-US"/>
              </w:rPr>
              <w:t>from a</w:t>
            </w:r>
            <w:r>
              <w:rPr>
                <w:rFonts w:cs="Arial"/>
                <w:color w:val="auto"/>
                <w:lang w:eastAsia="en-US"/>
              </w:rPr>
              <w:t xml:space="preserve"> senior level that outcomes are far more positive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49DFA" w14:textId="20A1F147" w:rsidR="00E17831" w:rsidRDefault="000038E6">
            <w:pPr>
              <w:pStyle w:val="TableRowCentered"/>
              <w:jc w:val="left"/>
              <w:rPr>
                <w:sz w:val="22"/>
              </w:rPr>
            </w:pPr>
            <w:r>
              <w:rPr>
                <w:sz w:val="22"/>
              </w:rPr>
              <w:t>2,4,5</w:t>
            </w:r>
          </w:p>
        </w:tc>
      </w:tr>
      <w:tr w:rsidR="00F25790" w14:paraId="156D07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53F4E" w14:textId="50FDF3CF" w:rsidR="00F25790" w:rsidRDefault="00F25790">
            <w:pPr>
              <w:pStyle w:val="TableRow"/>
              <w:rPr>
                <w:rFonts w:cs="Arial"/>
                <w:color w:val="auto"/>
              </w:rPr>
            </w:pPr>
            <w:r>
              <w:rPr>
                <w:rFonts w:cs="Arial"/>
                <w:color w:val="auto"/>
              </w:rPr>
              <w:t>Recruitment and Retention of additional Primary teaching staff to address the needs of primary aged children following the Covid-19 pandemic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A4311" w14:textId="003E8673" w:rsidR="00F25790" w:rsidRDefault="00F25790" w:rsidP="00BB0E30">
            <w:pPr>
              <w:widowControl w:val="0"/>
              <w:suppressAutoHyphens w:val="0"/>
              <w:overflowPunct w:val="0"/>
              <w:autoSpaceDE w:val="0"/>
              <w:spacing w:before="60" w:after="60" w:line="240" w:lineRule="auto"/>
              <w:ind w:left="36"/>
              <w:rPr>
                <w:rFonts w:cs="Arial"/>
                <w:color w:val="auto"/>
                <w:lang w:eastAsia="en-US"/>
              </w:rPr>
            </w:pPr>
            <w:r>
              <w:rPr>
                <w:rFonts w:cs="Arial"/>
                <w:color w:val="auto"/>
                <w:lang w:eastAsia="en-US"/>
              </w:rPr>
              <w:t>Evidence suggests that teaching staff provide greater outcomes and close gaps in attainment far more than support staff or bought in tutoring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BB1B4" w14:textId="3CC58E0F" w:rsidR="00F25790" w:rsidRDefault="00F25790">
            <w:pPr>
              <w:pStyle w:val="TableRowCentered"/>
              <w:jc w:val="left"/>
              <w:rPr>
                <w:sz w:val="22"/>
              </w:rPr>
            </w:pPr>
            <w:r>
              <w:rPr>
                <w:sz w:val="22"/>
              </w:rPr>
              <w:t>3, 6, 7, 8</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C8E1981" w:rsidR="00E66558" w:rsidRDefault="009D71E8">
      <w:r>
        <w:t xml:space="preserve">Budgeted cost: </w:t>
      </w:r>
      <w:r w:rsidR="00432424">
        <w:t>£16,052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60A4A16" w:rsidR="00E66558" w:rsidRPr="00111324" w:rsidRDefault="00111324">
            <w:pPr>
              <w:pStyle w:val="TableRow"/>
            </w:pPr>
            <w:r>
              <w:rPr>
                <w:sz w:val="22"/>
                <w:szCs w:val="22"/>
              </w:rPr>
              <w:t xml:space="preserve">Purchase of </w:t>
            </w:r>
            <w:r w:rsidR="00B24170">
              <w:rPr>
                <w:sz w:val="22"/>
                <w:szCs w:val="22"/>
              </w:rPr>
              <w:t>3-year</w:t>
            </w:r>
            <w:r>
              <w:rPr>
                <w:sz w:val="22"/>
                <w:szCs w:val="22"/>
              </w:rPr>
              <w:t xml:space="preserve"> license of Lexia Software to enhance and improve Reading ages across the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4611" w14:textId="6A256E33" w:rsidR="00BB0E30" w:rsidRPr="00BB0E30" w:rsidRDefault="00BB0E30" w:rsidP="00F908F5">
            <w:pPr>
              <w:suppressAutoHyphens w:val="0"/>
              <w:autoSpaceDN/>
              <w:spacing w:after="0" w:line="345" w:lineRule="atLeast"/>
              <w:rPr>
                <w:rFonts w:cs="Arial"/>
                <w:color w:val="auto"/>
                <w:sz w:val="23"/>
                <w:szCs w:val="23"/>
              </w:rPr>
            </w:pPr>
            <w:r w:rsidRPr="00BB0E30">
              <w:rPr>
                <w:rFonts w:cs="Arial"/>
                <w:color w:val="auto"/>
                <w:sz w:val="23"/>
                <w:szCs w:val="23"/>
              </w:rPr>
              <w:t>Lexia:</w:t>
            </w:r>
          </w:p>
          <w:p w14:paraId="066F319A" w14:textId="0B3CA435" w:rsidR="00111324" w:rsidRPr="00F908F5" w:rsidRDefault="00111324" w:rsidP="00F908F5">
            <w:pPr>
              <w:numPr>
                <w:ilvl w:val="0"/>
                <w:numId w:val="16"/>
              </w:numPr>
              <w:suppressAutoHyphens w:val="0"/>
              <w:autoSpaceDN/>
              <w:spacing w:after="100" w:afterAutospacing="1" w:line="345" w:lineRule="atLeast"/>
              <w:rPr>
                <w:rFonts w:cs="Arial"/>
                <w:color w:val="auto"/>
              </w:rPr>
            </w:pPr>
            <w:r w:rsidRPr="00F908F5">
              <w:rPr>
                <w:rFonts w:cs="Arial"/>
                <w:color w:val="auto"/>
              </w:rPr>
              <w:t>Struggling readers achieved +2 months’ progress compared to non-users in as little as 16 hours of program use.</w:t>
            </w:r>
          </w:p>
          <w:p w14:paraId="72CE946B" w14:textId="77777777" w:rsidR="00111324" w:rsidRPr="00F908F5" w:rsidRDefault="00111324" w:rsidP="00111324">
            <w:pPr>
              <w:numPr>
                <w:ilvl w:val="0"/>
                <w:numId w:val="16"/>
              </w:numPr>
              <w:suppressAutoHyphens w:val="0"/>
              <w:autoSpaceDN/>
              <w:spacing w:before="100" w:beforeAutospacing="1" w:after="100" w:afterAutospacing="1" w:line="345" w:lineRule="atLeast"/>
              <w:rPr>
                <w:rFonts w:cs="Arial"/>
                <w:color w:val="auto"/>
              </w:rPr>
            </w:pPr>
            <w:r w:rsidRPr="00F908F5">
              <w:rPr>
                <w:rFonts w:cs="Arial"/>
                <w:color w:val="auto"/>
              </w:rPr>
              <w:t xml:space="preserve">EEF awarded a high ‘padlock’ rating, enabling schools to </w:t>
            </w:r>
            <w:r w:rsidRPr="00F908F5">
              <w:rPr>
                <w:rFonts w:cs="Arial"/>
                <w:color w:val="auto"/>
              </w:rPr>
              <w:lastRenderedPageBreak/>
              <w:t>draw strong conclusions on impact.</w:t>
            </w:r>
          </w:p>
          <w:p w14:paraId="7A20C4E7" w14:textId="77777777" w:rsidR="00111324" w:rsidRPr="00F908F5" w:rsidRDefault="00111324" w:rsidP="00111324">
            <w:pPr>
              <w:numPr>
                <w:ilvl w:val="0"/>
                <w:numId w:val="16"/>
              </w:numPr>
              <w:suppressAutoHyphens w:val="0"/>
              <w:autoSpaceDN/>
              <w:spacing w:before="100" w:beforeAutospacing="1" w:after="100" w:afterAutospacing="1" w:line="345" w:lineRule="atLeast"/>
              <w:rPr>
                <w:rFonts w:cs="Arial"/>
                <w:color w:val="auto"/>
              </w:rPr>
            </w:pPr>
            <w:r w:rsidRPr="00F908F5">
              <w:rPr>
                <w:rFonts w:cs="Arial"/>
                <w:color w:val="auto"/>
              </w:rPr>
              <w:t>The study deemed Lexia as a ‘very low cost’ program.</w:t>
            </w:r>
          </w:p>
          <w:p w14:paraId="562ED1D2" w14:textId="77777777" w:rsidR="00111324" w:rsidRPr="00F908F5" w:rsidRDefault="00111324" w:rsidP="00111324">
            <w:pPr>
              <w:numPr>
                <w:ilvl w:val="0"/>
                <w:numId w:val="16"/>
              </w:numPr>
              <w:suppressAutoHyphens w:val="0"/>
              <w:autoSpaceDN/>
              <w:spacing w:before="100" w:beforeAutospacing="1" w:after="100" w:afterAutospacing="1" w:line="345" w:lineRule="atLeast"/>
              <w:rPr>
                <w:rFonts w:cs="Arial"/>
                <w:color w:val="auto"/>
              </w:rPr>
            </w:pPr>
            <w:r w:rsidRPr="00F908F5">
              <w:rPr>
                <w:rFonts w:cs="Arial"/>
                <w:color w:val="auto"/>
              </w:rPr>
              <w:t>Fidelity of implementation in schools was ‘high’</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1DF849A" w:rsidR="00E66558" w:rsidRDefault="00BB0E30">
            <w:pPr>
              <w:pStyle w:val="TableRowCentered"/>
              <w:jc w:val="left"/>
              <w:rPr>
                <w:sz w:val="22"/>
              </w:rPr>
            </w:pPr>
            <w:r>
              <w:rPr>
                <w:sz w:val="22"/>
              </w:rPr>
              <w:lastRenderedPageBreak/>
              <w:t>3,6,7</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2AF7D29" w:rsidR="00E66558" w:rsidRPr="00E17831" w:rsidRDefault="00E17831">
            <w:pPr>
              <w:pStyle w:val="TableRow"/>
              <w:rPr>
                <w:iCs/>
                <w:sz w:val="22"/>
              </w:rPr>
            </w:pPr>
            <w:r w:rsidRPr="00E17831">
              <w:rPr>
                <w:iCs/>
                <w:sz w:val="22"/>
              </w:rPr>
              <w:t>Targeted Alternative Provision for students to enrich and enhance the curriculum to further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1745C87" w:rsidR="00E66558" w:rsidRDefault="00E17831">
            <w:pPr>
              <w:pStyle w:val="TableRowCentered"/>
              <w:jc w:val="left"/>
              <w:rPr>
                <w:sz w:val="22"/>
              </w:rPr>
            </w:pPr>
            <w:r w:rsidRPr="004C6177">
              <w:rPr>
                <w:color w:val="auto"/>
              </w:rPr>
              <w:t xml:space="preserve">For pupils with SEND, </w:t>
            </w:r>
            <w:r>
              <w:rPr>
                <w:color w:val="auto"/>
              </w:rPr>
              <w:t xml:space="preserve">alternative provision </w:t>
            </w:r>
            <w:r w:rsidRPr="004C6177">
              <w:rPr>
                <w:color w:val="auto"/>
              </w:rPr>
              <w:t xml:space="preserve">can be a useful tool to support teaching. </w:t>
            </w:r>
            <w:r w:rsidRPr="004C6177">
              <w:rPr>
                <w:color w:val="auto"/>
                <w:szCs w:val="24"/>
              </w:rPr>
              <w:t xml:space="preserve">This </w:t>
            </w:r>
            <w:r>
              <w:rPr>
                <w:color w:val="auto"/>
                <w:szCs w:val="24"/>
              </w:rPr>
              <w:t>provision</w:t>
            </w:r>
            <w:r w:rsidRPr="004C6177">
              <w:rPr>
                <w:color w:val="auto"/>
                <w:szCs w:val="24"/>
              </w:rPr>
              <w:t xml:space="preserve"> will also support pupils’ </w:t>
            </w:r>
            <w:r>
              <w:rPr>
                <w:color w:val="auto"/>
                <w:szCs w:val="24"/>
              </w:rPr>
              <w:t xml:space="preserve">social and emotional literacy and </w:t>
            </w:r>
            <w:r w:rsidRPr="004C6177">
              <w:rPr>
                <w:color w:val="auto"/>
                <w:szCs w:val="24"/>
              </w:rPr>
              <w:t>skills, and help to deliver the curriculum</w:t>
            </w:r>
            <w:r>
              <w:rPr>
                <w:color w:val="auto"/>
                <w:szCs w:val="24"/>
              </w:rPr>
              <w:t xml:space="preserve"> overall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F86BEB5" w:rsidR="00E66558" w:rsidRDefault="00E17831">
            <w:pPr>
              <w:pStyle w:val="TableRowCentered"/>
              <w:jc w:val="left"/>
              <w:rPr>
                <w:sz w:val="22"/>
              </w:rPr>
            </w:pPr>
            <w:r>
              <w:rPr>
                <w:sz w:val="22"/>
              </w:rPr>
              <w:t>1,8</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DD08939" w:rsidR="00E66558" w:rsidRDefault="009D71E8">
      <w:pPr>
        <w:spacing w:before="240" w:after="120"/>
      </w:pPr>
      <w:r>
        <w:t xml:space="preserve">Budgeted cost: </w:t>
      </w:r>
      <w:r w:rsidR="00432424">
        <w:t>£58,860</w:t>
      </w:r>
    </w:p>
    <w:tbl>
      <w:tblPr>
        <w:tblW w:w="5000" w:type="pct"/>
        <w:tblCellMar>
          <w:left w:w="10" w:type="dxa"/>
          <w:right w:w="10" w:type="dxa"/>
        </w:tblCellMar>
        <w:tblLook w:val="04A0" w:firstRow="1" w:lastRow="0" w:firstColumn="1" w:lastColumn="0" w:noHBand="0" w:noVBand="1"/>
      </w:tblPr>
      <w:tblGrid>
        <w:gridCol w:w="2089"/>
        <w:gridCol w:w="1810"/>
        <w:gridCol w:w="3629"/>
        <w:gridCol w:w="1958"/>
      </w:tblGrid>
      <w:tr w:rsidR="00432424" w14:paraId="2A7D5537" w14:textId="77777777" w:rsidTr="00432424">
        <w:tc>
          <w:tcPr>
            <w:tcW w:w="20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432424" w:rsidRDefault="00432424">
            <w:pPr>
              <w:pStyle w:val="TableHeader"/>
              <w:jc w:val="left"/>
            </w:pPr>
            <w:r>
              <w:t>Activity</w:t>
            </w:r>
          </w:p>
        </w:tc>
        <w:tc>
          <w:tcPr>
            <w:tcW w:w="1810" w:type="dxa"/>
            <w:tcBorders>
              <w:top w:val="single" w:sz="4" w:space="0" w:color="000000"/>
              <w:left w:val="single" w:sz="4" w:space="0" w:color="000000"/>
              <w:bottom w:val="single" w:sz="4" w:space="0" w:color="000000"/>
              <w:right w:val="single" w:sz="4" w:space="0" w:color="000000"/>
            </w:tcBorders>
            <w:shd w:val="clear" w:color="auto" w:fill="D8E2E9"/>
          </w:tcPr>
          <w:p w14:paraId="5C462FAF" w14:textId="77777777" w:rsidR="00432424" w:rsidRDefault="00432424">
            <w:pPr>
              <w:pStyle w:val="TableHeader"/>
              <w:jc w:val="left"/>
            </w:pPr>
          </w:p>
        </w:tc>
        <w:tc>
          <w:tcPr>
            <w:tcW w:w="36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27A0BB82" w:rsidR="00432424" w:rsidRDefault="00432424">
            <w:pPr>
              <w:pStyle w:val="TableHeader"/>
              <w:jc w:val="left"/>
            </w:pPr>
            <w:r>
              <w:t>Evidence that supports this approach</w:t>
            </w:r>
          </w:p>
        </w:tc>
        <w:tc>
          <w:tcPr>
            <w:tcW w:w="19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432424" w:rsidRDefault="00432424">
            <w:pPr>
              <w:pStyle w:val="TableHeader"/>
              <w:jc w:val="left"/>
            </w:pPr>
            <w:r>
              <w:t>Challenge number(s) addressed</w:t>
            </w:r>
          </w:p>
        </w:tc>
      </w:tr>
      <w:tr w:rsidR="00432424" w14:paraId="2A7D553B" w14:textId="77777777" w:rsidTr="00432424">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5E75" w14:textId="77777777" w:rsidR="00432424" w:rsidRPr="00F25790" w:rsidRDefault="00432424" w:rsidP="007169B6">
            <w:pPr>
              <w:pStyle w:val="TableRow"/>
              <w:rPr>
                <w:color w:val="auto"/>
                <w:sz w:val="22"/>
                <w:szCs w:val="22"/>
              </w:rPr>
            </w:pPr>
            <w:r w:rsidRPr="00F25790">
              <w:rPr>
                <w:color w:val="auto"/>
                <w:sz w:val="22"/>
                <w:szCs w:val="22"/>
              </w:rPr>
              <w:t>Training Year 9–11 pupils to use public transport.</w:t>
            </w:r>
          </w:p>
          <w:p w14:paraId="2A7D5538" w14:textId="59E46679" w:rsidR="00432424" w:rsidRPr="00F25790" w:rsidRDefault="00432424" w:rsidP="007169B6">
            <w:pPr>
              <w:pStyle w:val="TableRow"/>
              <w:rPr>
                <w:sz w:val="22"/>
                <w:szCs w:val="22"/>
              </w:rPr>
            </w:pPr>
            <w:r w:rsidRPr="00F25790">
              <w:rPr>
                <w:color w:val="auto"/>
                <w:sz w:val="22"/>
                <w:szCs w:val="22"/>
              </w:rPr>
              <w:t>This will involve CPD and release time for two staff members.</w:t>
            </w:r>
          </w:p>
        </w:tc>
        <w:tc>
          <w:tcPr>
            <w:tcW w:w="1810" w:type="dxa"/>
            <w:tcBorders>
              <w:top w:val="single" w:sz="4" w:space="0" w:color="000000"/>
              <w:left w:val="single" w:sz="4" w:space="0" w:color="000000"/>
              <w:bottom w:val="single" w:sz="4" w:space="0" w:color="000000"/>
              <w:right w:val="single" w:sz="4" w:space="0" w:color="000000"/>
            </w:tcBorders>
          </w:tcPr>
          <w:p w14:paraId="1C1F08F7" w14:textId="77777777" w:rsidR="00432424" w:rsidRPr="004C6177" w:rsidRDefault="00432424" w:rsidP="007169B6">
            <w:pPr>
              <w:pStyle w:val="TableRowCentered"/>
              <w:ind w:left="37"/>
              <w:jc w:val="left"/>
              <w:rPr>
                <w:rFonts w:cs="Arial"/>
                <w:color w:val="auto"/>
                <w:szCs w:val="24"/>
                <w:lang w:eastAsia="en-US"/>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9306" w14:textId="0BA03507" w:rsidR="00432424" w:rsidRPr="004C6177" w:rsidRDefault="00432424" w:rsidP="007169B6">
            <w:pPr>
              <w:pStyle w:val="TableRowCentered"/>
              <w:ind w:left="37"/>
              <w:jc w:val="left"/>
              <w:rPr>
                <w:rFonts w:cs="Arial"/>
                <w:color w:val="auto"/>
                <w:szCs w:val="24"/>
                <w:lang w:eastAsia="en-US"/>
              </w:rPr>
            </w:pPr>
            <w:r w:rsidRPr="004C6177">
              <w:rPr>
                <w:rFonts w:cs="Arial"/>
                <w:color w:val="auto"/>
                <w:szCs w:val="24"/>
                <w:lang w:eastAsia="en-US"/>
              </w:rPr>
              <w:t>Independent Travel Training is likely to enhance pupils’ social and employment opportunities:</w:t>
            </w:r>
          </w:p>
          <w:p w14:paraId="2A7D5539" w14:textId="7C153361" w:rsidR="00432424" w:rsidRDefault="004460FE" w:rsidP="007169B6">
            <w:pPr>
              <w:pStyle w:val="TableRowCentered"/>
              <w:jc w:val="left"/>
              <w:rPr>
                <w:sz w:val="22"/>
              </w:rPr>
            </w:pPr>
            <w:hyperlink r:id="rId9" w:history="1">
              <w:r w:rsidR="00432424" w:rsidRPr="00202830">
                <w:rPr>
                  <w:color w:val="0070C0"/>
                  <w:szCs w:val="24"/>
                  <w:u w:val="single"/>
                </w:rPr>
                <w:t>Department for Education (publishing.service.gov.uk)</w:t>
              </w:r>
            </w:hyperlink>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D343066" w:rsidR="00432424" w:rsidRDefault="00432424">
            <w:pPr>
              <w:pStyle w:val="TableRowCentered"/>
              <w:jc w:val="left"/>
              <w:rPr>
                <w:sz w:val="22"/>
              </w:rPr>
            </w:pPr>
            <w:r>
              <w:rPr>
                <w:sz w:val="22"/>
              </w:rPr>
              <w:t>1,3</w:t>
            </w:r>
          </w:p>
        </w:tc>
      </w:tr>
      <w:tr w:rsidR="00432424" w14:paraId="2A7D553F" w14:textId="77777777" w:rsidTr="00432424">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8D54682" w:rsidR="00432424" w:rsidRDefault="00432424" w:rsidP="007169B6">
            <w:pPr>
              <w:pStyle w:val="TableRow"/>
              <w:rPr>
                <w:i/>
                <w:sz w:val="22"/>
              </w:rPr>
            </w:pPr>
            <w:r>
              <w:rPr>
                <w:sz w:val="22"/>
                <w:szCs w:val="22"/>
              </w:rPr>
              <w:t>Creation of a Pastoral Lead role within teaching staff</w:t>
            </w:r>
          </w:p>
        </w:tc>
        <w:tc>
          <w:tcPr>
            <w:tcW w:w="1810" w:type="dxa"/>
            <w:tcBorders>
              <w:top w:val="single" w:sz="4" w:space="0" w:color="000000"/>
              <w:left w:val="single" w:sz="4" w:space="0" w:color="000000"/>
              <w:bottom w:val="single" w:sz="4" w:space="0" w:color="000000"/>
              <w:right w:val="single" w:sz="4" w:space="0" w:color="000000"/>
            </w:tcBorders>
          </w:tcPr>
          <w:p w14:paraId="52CFE336" w14:textId="77777777" w:rsidR="00432424" w:rsidRPr="00F908F5" w:rsidRDefault="00432424" w:rsidP="007169B6">
            <w:pPr>
              <w:pStyle w:val="TableRowCentered"/>
              <w:jc w:val="left"/>
              <w:rPr>
                <w:szCs w:val="22"/>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DA7A0C7" w:rsidR="00432424" w:rsidRDefault="00432424" w:rsidP="007169B6">
            <w:pPr>
              <w:pStyle w:val="TableRowCentered"/>
              <w:jc w:val="left"/>
              <w:rPr>
                <w:sz w:val="22"/>
              </w:rPr>
            </w:pPr>
            <w:r w:rsidRPr="00F908F5">
              <w:rPr>
                <w:szCs w:val="22"/>
              </w:rPr>
              <w:t>We have observed that an identified link for small schools that don’t benefit from a defined Head of Year type structure makes a significant difference when it comes to pupil/parent engagement in learning and progress.</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8B7CF1E" w:rsidR="00432424" w:rsidRDefault="00432424" w:rsidP="007169B6">
            <w:pPr>
              <w:pStyle w:val="TableRowCentered"/>
              <w:jc w:val="left"/>
              <w:rPr>
                <w:sz w:val="22"/>
              </w:rPr>
            </w:pPr>
            <w:r>
              <w:rPr>
                <w:sz w:val="22"/>
              </w:rPr>
              <w:t>8</w:t>
            </w:r>
          </w:p>
        </w:tc>
      </w:tr>
      <w:tr w:rsidR="00432424" w14:paraId="545AE6AF" w14:textId="77777777" w:rsidTr="00432424">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3D18A" w14:textId="244FFE07" w:rsidR="00432424" w:rsidRDefault="00432424" w:rsidP="007169B6">
            <w:pPr>
              <w:pStyle w:val="TableRow"/>
              <w:rPr>
                <w:sz w:val="22"/>
                <w:szCs w:val="22"/>
              </w:rPr>
            </w:pPr>
            <w:r w:rsidRPr="00F25790">
              <w:rPr>
                <w:rFonts w:cs="Arial"/>
                <w:color w:val="auto"/>
                <w:sz w:val="22"/>
                <w:szCs w:val="22"/>
                <w:lang w:eastAsia="en-US"/>
              </w:rPr>
              <w:t xml:space="preserve">Programme working with parents and carers to develop effective home learning environments and increased self-expression. </w:t>
            </w:r>
          </w:p>
        </w:tc>
        <w:tc>
          <w:tcPr>
            <w:tcW w:w="1810" w:type="dxa"/>
            <w:tcBorders>
              <w:top w:val="single" w:sz="4" w:space="0" w:color="000000"/>
              <w:left w:val="single" w:sz="4" w:space="0" w:color="000000"/>
              <w:bottom w:val="single" w:sz="4" w:space="0" w:color="000000"/>
              <w:right w:val="single" w:sz="4" w:space="0" w:color="000000"/>
            </w:tcBorders>
          </w:tcPr>
          <w:p w14:paraId="68C933C3" w14:textId="77777777" w:rsidR="00432424" w:rsidRPr="004C6177" w:rsidRDefault="00432424" w:rsidP="00E17831">
            <w:pPr>
              <w:pStyle w:val="Heading1"/>
              <w:spacing w:before="60" w:after="0"/>
              <w:ind w:left="40"/>
              <w:rPr>
                <w:rFonts w:cs="Arial"/>
                <w:b w:val="0"/>
                <w:color w:val="auto"/>
                <w:sz w:val="24"/>
                <w:lang w:eastAsia="en-US"/>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1C8F" w14:textId="0C4C5E45" w:rsidR="00432424" w:rsidRPr="004C6177" w:rsidRDefault="00432424" w:rsidP="00E17831">
            <w:pPr>
              <w:pStyle w:val="Heading1"/>
              <w:spacing w:before="60" w:after="0"/>
              <w:ind w:left="40"/>
              <w:rPr>
                <w:rFonts w:cs="Arial"/>
                <w:b w:val="0"/>
                <w:color w:val="auto"/>
                <w:sz w:val="24"/>
                <w:lang w:eastAsia="en-US"/>
              </w:rPr>
            </w:pPr>
            <w:r w:rsidRPr="004C6177">
              <w:rPr>
                <w:rFonts w:cs="Arial"/>
                <w:b w:val="0"/>
                <w:color w:val="auto"/>
                <w:sz w:val="24"/>
                <w:lang w:eastAsia="en-US"/>
              </w:rPr>
              <w:t>The NSPCC recommends parents and carers work with their children to create routines that provide structure to their day, partake in activities together, and assist children in expressing their emotions:</w:t>
            </w:r>
          </w:p>
          <w:p w14:paraId="0F7A8B61" w14:textId="2EBC548B" w:rsidR="00432424" w:rsidRDefault="004460FE" w:rsidP="00E17831">
            <w:pPr>
              <w:pStyle w:val="TableRowCentered"/>
              <w:jc w:val="left"/>
              <w:rPr>
                <w:sz w:val="22"/>
              </w:rPr>
            </w:pPr>
            <w:hyperlink r:id="rId10" w:history="1">
              <w:r w:rsidR="00432424" w:rsidRPr="000873E0">
                <w:rPr>
                  <w:color w:val="0070C0"/>
                  <w:u w:val="single"/>
                </w:rPr>
                <w:t>Supporting children with special educational needs and disabilities | NSPCC</w:t>
              </w:r>
            </w:hyperlink>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1BF75" w14:textId="15948308" w:rsidR="00432424" w:rsidRDefault="00432424" w:rsidP="007169B6">
            <w:pPr>
              <w:pStyle w:val="TableRowCentered"/>
              <w:jc w:val="left"/>
              <w:rPr>
                <w:sz w:val="22"/>
              </w:rPr>
            </w:pPr>
            <w:r>
              <w:rPr>
                <w:sz w:val="22"/>
              </w:rPr>
              <w:t>3,8</w:t>
            </w:r>
          </w:p>
        </w:tc>
      </w:tr>
      <w:tr w:rsidR="00432424" w14:paraId="60A68E43" w14:textId="77777777" w:rsidTr="00432424">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98C90" w14:textId="137230FD" w:rsidR="00432424" w:rsidRPr="00F25790" w:rsidRDefault="00432424" w:rsidP="007169B6">
            <w:pPr>
              <w:pStyle w:val="TableRow"/>
              <w:rPr>
                <w:rFonts w:cs="Arial"/>
                <w:color w:val="auto"/>
                <w:sz w:val="22"/>
                <w:szCs w:val="22"/>
                <w:lang w:eastAsia="en-US"/>
              </w:rPr>
            </w:pPr>
            <w:r>
              <w:rPr>
                <w:rFonts w:cs="Arial"/>
                <w:color w:val="auto"/>
                <w:sz w:val="22"/>
                <w:szCs w:val="22"/>
                <w:lang w:eastAsia="en-US"/>
              </w:rPr>
              <w:lastRenderedPageBreak/>
              <w:t>Recruitment and retention of Pastoral Support Assistants to enhance the pastoral support in school</w:t>
            </w:r>
          </w:p>
        </w:tc>
        <w:tc>
          <w:tcPr>
            <w:tcW w:w="1810" w:type="dxa"/>
            <w:tcBorders>
              <w:top w:val="single" w:sz="4" w:space="0" w:color="000000"/>
              <w:left w:val="single" w:sz="4" w:space="0" w:color="000000"/>
              <w:bottom w:val="single" w:sz="4" w:space="0" w:color="000000"/>
              <w:right w:val="single" w:sz="4" w:space="0" w:color="000000"/>
            </w:tcBorders>
          </w:tcPr>
          <w:p w14:paraId="192B1250" w14:textId="77777777" w:rsidR="00432424" w:rsidRPr="00F25790" w:rsidRDefault="00432424" w:rsidP="00F25790">
            <w:pPr>
              <w:rPr>
                <w:sz w:val="22"/>
                <w:szCs w:val="22"/>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2D87" w14:textId="09D3B09C" w:rsidR="00432424" w:rsidRPr="004C6177" w:rsidRDefault="00432424" w:rsidP="00F25790">
            <w:pPr>
              <w:rPr>
                <w:rFonts w:cs="Arial"/>
                <w:b/>
                <w:color w:val="auto"/>
                <w:lang w:eastAsia="en-US"/>
              </w:rPr>
            </w:pPr>
            <w:r w:rsidRPr="00F25790">
              <w:rPr>
                <w:sz w:val="22"/>
                <w:szCs w:val="22"/>
              </w:rPr>
              <w:t>We have observed that an identified link for small schools that don’t benefit from a defined Head of Year type structure makes a significant difference when it comes to pupil/parent engagement in learning and progress.</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7D3F" w14:textId="325DDEEC" w:rsidR="00432424" w:rsidRDefault="00432424" w:rsidP="007169B6">
            <w:pPr>
              <w:pStyle w:val="TableRowCentered"/>
              <w:jc w:val="left"/>
              <w:rPr>
                <w:sz w:val="22"/>
              </w:rPr>
            </w:pPr>
            <w:r>
              <w:rPr>
                <w:sz w:val="22"/>
              </w:rPr>
              <w:t>8</w:t>
            </w:r>
          </w:p>
        </w:tc>
      </w:tr>
    </w:tbl>
    <w:p w14:paraId="2A7D5540" w14:textId="77777777" w:rsidR="00E66558" w:rsidRDefault="00E66558">
      <w:pPr>
        <w:spacing w:before="240" w:after="0"/>
        <w:rPr>
          <w:b/>
          <w:bCs/>
          <w:color w:val="104F75"/>
          <w:sz w:val="28"/>
          <w:szCs w:val="28"/>
        </w:rPr>
      </w:pPr>
    </w:p>
    <w:p w14:paraId="2A7D5541" w14:textId="4FE9E3CB" w:rsidR="00E66558" w:rsidRDefault="009D71E8" w:rsidP="00120AB1">
      <w:r>
        <w:rPr>
          <w:b/>
          <w:bCs/>
          <w:color w:val="104F75"/>
          <w:sz w:val="28"/>
          <w:szCs w:val="28"/>
        </w:rPr>
        <w:t xml:space="preserve">Total budgeted cost: </w:t>
      </w:r>
      <w:r w:rsidRPr="009D1132">
        <w:rPr>
          <w:b/>
          <w:bCs/>
          <w:color w:val="104F75"/>
          <w:sz w:val="28"/>
          <w:szCs w:val="28"/>
          <w:highlight w:val="yellow"/>
        </w:rPr>
        <w:t>£</w:t>
      </w:r>
      <w:r w:rsidR="00F908F5" w:rsidRPr="009D1132">
        <w:rPr>
          <w:b/>
          <w:bCs/>
          <w:color w:val="104F75"/>
          <w:sz w:val="28"/>
          <w:szCs w:val="28"/>
          <w:highlight w:val="yellow"/>
        </w:rPr>
        <w:t>84,995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694D4B2" w:rsidR="00E66558" w:rsidRDefault="009D71E8">
      <w:r>
        <w:t>This details the impact that our pupil premium activity had on pupils in the 202</w:t>
      </w:r>
      <w:r w:rsidR="009D1132">
        <w:t>1</w:t>
      </w:r>
      <w:r>
        <w:t xml:space="preserve"> to 202</w:t>
      </w:r>
      <w:r w:rsidR="009D1132">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500F" w14:textId="77777777" w:rsidR="00F1494D" w:rsidRDefault="00F1494D" w:rsidP="00F1494D">
            <w:pPr>
              <w:spacing w:after="0"/>
              <w:rPr>
                <w:b/>
                <w:u w:val="single"/>
              </w:rPr>
            </w:pPr>
            <w:r>
              <w:rPr>
                <w:b/>
                <w:u w:val="single"/>
              </w:rPr>
              <w:t>What we are doing well (from internal PPM Review):</w:t>
            </w:r>
          </w:p>
          <w:p w14:paraId="61992E4F" w14:textId="77777777" w:rsidR="00F1494D" w:rsidRDefault="00F1494D" w:rsidP="00F1494D">
            <w:pPr>
              <w:spacing w:after="0"/>
              <w:rPr>
                <w:b/>
                <w:u w:val="single"/>
              </w:rPr>
            </w:pPr>
          </w:p>
          <w:p w14:paraId="273550A7" w14:textId="77777777" w:rsidR="00F1494D" w:rsidRDefault="00F1494D" w:rsidP="00F1494D">
            <w:pPr>
              <w:pStyle w:val="ListParagraph"/>
              <w:numPr>
                <w:ilvl w:val="0"/>
                <w:numId w:val="14"/>
              </w:numPr>
              <w:suppressAutoHyphens w:val="0"/>
              <w:autoSpaceDN/>
              <w:spacing w:after="0" w:line="276" w:lineRule="auto"/>
            </w:pPr>
            <w:r>
              <w:t>The information that has been produced for PPM is very detailed with clear breakdowns of the position of the school – this has provided Governors, SLT and Middle leaders with clear breakdowns of PPM performance to inform department and whole school planning.</w:t>
            </w:r>
          </w:p>
          <w:p w14:paraId="4363D7A2" w14:textId="77777777" w:rsidR="00F1494D" w:rsidRDefault="00F1494D" w:rsidP="00F1494D">
            <w:pPr>
              <w:pStyle w:val="ListParagraph"/>
              <w:numPr>
                <w:ilvl w:val="0"/>
                <w:numId w:val="14"/>
              </w:numPr>
              <w:suppressAutoHyphens w:val="0"/>
              <w:autoSpaceDN/>
              <w:spacing w:after="0" w:line="276" w:lineRule="auto"/>
            </w:pPr>
            <w:r>
              <w:t>The school and staff understand that the key to PPM is high quality teaching - this is evident from lesson observations where specific strategies have been seen to promote PPM progress using lesson planning and triangles of inclusion. Work in progress</w:t>
            </w:r>
          </w:p>
          <w:p w14:paraId="431809F5" w14:textId="77777777" w:rsidR="00F1494D" w:rsidRDefault="00F1494D" w:rsidP="00D44254">
            <w:pPr>
              <w:spacing w:after="0"/>
              <w:rPr>
                <w:rFonts w:cs="Arial"/>
                <w:b/>
                <w:u w:val="single"/>
              </w:rPr>
            </w:pPr>
          </w:p>
          <w:p w14:paraId="3558AA7D" w14:textId="29BC97CB" w:rsidR="00D44254" w:rsidRDefault="00D44254" w:rsidP="00D44254">
            <w:pPr>
              <w:spacing w:after="0"/>
              <w:rPr>
                <w:rFonts w:cs="Arial"/>
                <w:b/>
                <w:u w:val="single"/>
              </w:rPr>
            </w:pPr>
            <w:r>
              <w:rPr>
                <w:rFonts w:cs="Arial"/>
                <w:b/>
                <w:u w:val="single"/>
              </w:rPr>
              <w:t>Impact of the PPG</w:t>
            </w:r>
          </w:p>
          <w:p w14:paraId="2591486A" w14:textId="77777777" w:rsidR="00D44254" w:rsidRDefault="00D44254" w:rsidP="00D44254">
            <w:pPr>
              <w:spacing w:after="0"/>
              <w:rPr>
                <w:rFonts w:cs="Arial"/>
                <w:b/>
                <w:u w:val="single"/>
              </w:rPr>
            </w:pPr>
          </w:p>
          <w:p w14:paraId="40CF404C" w14:textId="77777777" w:rsidR="009D1132" w:rsidRDefault="00D44254" w:rsidP="009D1132">
            <w:pPr>
              <w:spacing w:after="0"/>
              <w:rPr>
                <w:rFonts w:cs="Arial"/>
                <w:bCs/>
              </w:rPr>
            </w:pPr>
            <w:r>
              <w:rPr>
                <w:rFonts w:cs="Arial"/>
                <w:bCs/>
              </w:rPr>
              <w:t xml:space="preserve">• </w:t>
            </w:r>
            <w:r w:rsidR="009D1132">
              <w:rPr>
                <w:rFonts w:cs="Arial"/>
                <w:bCs/>
              </w:rPr>
              <w:t>Overall school attendance so far for 2021-22 was 91.5%. Non-PP students’ attendance was 92.48% and PP students’ attendance was 91.18%.</w:t>
            </w:r>
          </w:p>
          <w:p w14:paraId="69E286AA" w14:textId="77777777" w:rsidR="009D1132" w:rsidRDefault="009D1132" w:rsidP="009D1132">
            <w:pPr>
              <w:spacing w:after="0"/>
              <w:rPr>
                <w:rFonts w:cs="Arial"/>
                <w:bCs/>
              </w:rPr>
            </w:pPr>
            <w:r>
              <w:rPr>
                <w:rFonts w:cs="Arial"/>
                <w:bCs/>
              </w:rPr>
              <w:t xml:space="preserve">• 100% of PP students who are due to leave the school in the summer of 2022 are set to go on to further education or employment. </w:t>
            </w:r>
          </w:p>
          <w:p w14:paraId="3255068B" w14:textId="77777777" w:rsidR="009D1132" w:rsidRDefault="009D1132" w:rsidP="009D1132">
            <w:pPr>
              <w:spacing w:after="0"/>
              <w:rPr>
                <w:rFonts w:cs="Arial"/>
                <w:b/>
                <w:u w:val="single"/>
              </w:rPr>
            </w:pPr>
          </w:p>
          <w:tbl>
            <w:tblPr>
              <w:tblStyle w:val="TableGrid"/>
              <w:tblW w:w="0" w:type="auto"/>
              <w:tblLook w:val="04A0" w:firstRow="1" w:lastRow="0" w:firstColumn="1" w:lastColumn="0" w:noHBand="0" w:noVBand="1"/>
            </w:tblPr>
            <w:tblGrid>
              <w:gridCol w:w="2304"/>
              <w:gridCol w:w="1586"/>
              <w:gridCol w:w="1837"/>
              <w:gridCol w:w="1703"/>
              <w:gridCol w:w="1837"/>
            </w:tblGrid>
            <w:tr w:rsidR="009D1132" w:rsidRPr="00130412" w14:paraId="7876C8F6" w14:textId="77777777" w:rsidTr="00FB1C7C">
              <w:tc>
                <w:tcPr>
                  <w:tcW w:w="3119" w:type="dxa"/>
                </w:tcPr>
                <w:p w14:paraId="02E8D3B9" w14:textId="77777777" w:rsidR="009D1132" w:rsidRPr="00130412" w:rsidRDefault="009D1132" w:rsidP="009D1132">
                  <w:pPr>
                    <w:jc w:val="center"/>
                    <w:rPr>
                      <w:rFonts w:cstheme="minorHAnsi"/>
                      <w:b/>
                      <w:u w:val="single"/>
                    </w:rPr>
                  </w:pPr>
                  <w:r w:rsidRPr="00130412">
                    <w:rPr>
                      <w:rFonts w:cstheme="minorHAnsi"/>
                      <w:b/>
                      <w:u w:val="single"/>
                    </w:rPr>
                    <w:t>Measure</w:t>
                  </w:r>
                </w:p>
              </w:tc>
              <w:tc>
                <w:tcPr>
                  <w:tcW w:w="5293" w:type="dxa"/>
                  <w:gridSpan w:val="2"/>
                </w:tcPr>
                <w:p w14:paraId="390F0FCA" w14:textId="77777777" w:rsidR="009D1132" w:rsidRPr="00130412" w:rsidRDefault="009D1132" w:rsidP="009D1132">
                  <w:pPr>
                    <w:jc w:val="center"/>
                    <w:rPr>
                      <w:rFonts w:cstheme="minorHAnsi"/>
                      <w:b/>
                      <w:u w:val="single"/>
                    </w:rPr>
                  </w:pPr>
                  <w:r w:rsidRPr="00130412">
                    <w:rPr>
                      <w:rFonts w:cstheme="minorHAnsi"/>
                      <w:b/>
                      <w:u w:val="single"/>
                    </w:rPr>
                    <w:t>Pupil Premium</w:t>
                  </w:r>
                </w:p>
              </w:tc>
              <w:tc>
                <w:tcPr>
                  <w:tcW w:w="5536" w:type="dxa"/>
                  <w:gridSpan w:val="2"/>
                </w:tcPr>
                <w:p w14:paraId="11DD78FA" w14:textId="77777777" w:rsidR="009D1132" w:rsidRPr="00130412" w:rsidRDefault="009D1132" w:rsidP="009D1132">
                  <w:pPr>
                    <w:jc w:val="center"/>
                    <w:rPr>
                      <w:rFonts w:cstheme="minorHAnsi"/>
                      <w:b/>
                      <w:u w:val="single"/>
                    </w:rPr>
                  </w:pPr>
                  <w:r w:rsidRPr="00130412">
                    <w:rPr>
                      <w:rFonts w:cstheme="minorHAnsi"/>
                      <w:b/>
                      <w:u w:val="single"/>
                    </w:rPr>
                    <w:t>Non-Pupil Premium</w:t>
                  </w:r>
                </w:p>
              </w:tc>
            </w:tr>
            <w:tr w:rsidR="009D1132" w:rsidRPr="00130412" w14:paraId="25ACAEE3" w14:textId="77777777" w:rsidTr="00FB1C7C">
              <w:tc>
                <w:tcPr>
                  <w:tcW w:w="3119" w:type="dxa"/>
                </w:tcPr>
                <w:p w14:paraId="000883C7" w14:textId="77777777" w:rsidR="009D1132" w:rsidRPr="00130412" w:rsidRDefault="009D1132" w:rsidP="009D1132">
                  <w:pPr>
                    <w:jc w:val="center"/>
                    <w:rPr>
                      <w:rFonts w:cstheme="minorHAnsi"/>
                      <w:bCs/>
                    </w:rPr>
                  </w:pPr>
                </w:p>
              </w:tc>
              <w:tc>
                <w:tcPr>
                  <w:tcW w:w="2385" w:type="dxa"/>
                </w:tcPr>
                <w:p w14:paraId="61B406E3" w14:textId="77777777" w:rsidR="009D1132" w:rsidRPr="00130412" w:rsidRDefault="009D1132" w:rsidP="009D1132">
                  <w:pPr>
                    <w:jc w:val="center"/>
                    <w:rPr>
                      <w:rFonts w:cstheme="minorHAnsi"/>
                      <w:b/>
                    </w:rPr>
                  </w:pPr>
                  <w:r w:rsidRPr="00130412">
                    <w:rPr>
                      <w:rFonts w:cstheme="minorHAnsi"/>
                      <w:b/>
                    </w:rPr>
                    <w:t>Actual 2021</w:t>
                  </w:r>
                </w:p>
              </w:tc>
              <w:tc>
                <w:tcPr>
                  <w:tcW w:w="2908" w:type="dxa"/>
                </w:tcPr>
                <w:p w14:paraId="52792901" w14:textId="77777777" w:rsidR="009D1132" w:rsidRPr="00130412" w:rsidRDefault="009D1132" w:rsidP="009D1132">
                  <w:pPr>
                    <w:jc w:val="center"/>
                    <w:rPr>
                      <w:rFonts w:cstheme="minorHAnsi"/>
                      <w:b/>
                    </w:rPr>
                  </w:pPr>
                  <w:r>
                    <w:rPr>
                      <w:rFonts w:cstheme="minorHAnsi"/>
                      <w:b/>
                    </w:rPr>
                    <w:t>Actual</w:t>
                  </w:r>
                  <w:r w:rsidRPr="00130412">
                    <w:rPr>
                      <w:rFonts w:cstheme="minorHAnsi"/>
                      <w:b/>
                    </w:rPr>
                    <w:t xml:space="preserve"> 2022</w:t>
                  </w:r>
                </w:p>
              </w:tc>
              <w:tc>
                <w:tcPr>
                  <w:tcW w:w="2628" w:type="dxa"/>
                </w:tcPr>
                <w:p w14:paraId="0D26DA1E" w14:textId="77777777" w:rsidR="009D1132" w:rsidRPr="00130412" w:rsidRDefault="009D1132" w:rsidP="009D1132">
                  <w:pPr>
                    <w:jc w:val="center"/>
                    <w:rPr>
                      <w:rFonts w:cstheme="minorHAnsi"/>
                      <w:b/>
                    </w:rPr>
                  </w:pPr>
                  <w:r w:rsidRPr="00130412">
                    <w:rPr>
                      <w:rFonts w:cstheme="minorHAnsi"/>
                      <w:b/>
                    </w:rPr>
                    <w:t>Actual 2021</w:t>
                  </w:r>
                </w:p>
              </w:tc>
              <w:tc>
                <w:tcPr>
                  <w:tcW w:w="2908" w:type="dxa"/>
                </w:tcPr>
                <w:p w14:paraId="268A60B4" w14:textId="77777777" w:rsidR="009D1132" w:rsidRPr="00130412" w:rsidRDefault="009D1132" w:rsidP="009D1132">
                  <w:pPr>
                    <w:jc w:val="center"/>
                    <w:rPr>
                      <w:rFonts w:cstheme="minorHAnsi"/>
                      <w:b/>
                    </w:rPr>
                  </w:pPr>
                  <w:r>
                    <w:rPr>
                      <w:rFonts w:cstheme="minorHAnsi"/>
                      <w:b/>
                    </w:rPr>
                    <w:t>Actual</w:t>
                  </w:r>
                  <w:r w:rsidRPr="00130412">
                    <w:rPr>
                      <w:rFonts w:cstheme="minorHAnsi"/>
                      <w:b/>
                    </w:rPr>
                    <w:t xml:space="preserve"> 2022</w:t>
                  </w:r>
                </w:p>
              </w:tc>
            </w:tr>
            <w:tr w:rsidR="009D1132" w:rsidRPr="00130412" w14:paraId="6D904053" w14:textId="77777777" w:rsidTr="00FB1C7C">
              <w:tc>
                <w:tcPr>
                  <w:tcW w:w="3119" w:type="dxa"/>
                </w:tcPr>
                <w:p w14:paraId="6CBDF79B" w14:textId="77777777" w:rsidR="009D1132" w:rsidRPr="00130412" w:rsidRDefault="009D1132" w:rsidP="009D1132">
                  <w:pPr>
                    <w:jc w:val="center"/>
                    <w:rPr>
                      <w:rFonts w:cstheme="minorHAnsi"/>
                      <w:bCs/>
                    </w:rPr>
                  </w:pPr>
                  <w:r w:rsidRPr="00130412">
                    <w:rPr>
                      <w:rFonts w:cstheme="minorHAnsi"/>
                      <w:bCs/>
                    </w:rPr>
                    <w:t>5 x Level 1 Qualifications</w:t>
                  </w:r>
                </w:p>
              </w:tc>
              <w:tc>
                <w:tcPr>
                  <w:tcW w:w="2385" w:type="dxa"/>
                </w:tcPr>
                <w:p w14:paraId="4ED0D78A" w14:textId="77777777" w:rsidR="009D1132" w:rsidRPr="00130412" w:rsidRDefault="009D1132" w:rsidP="009D1132">
                  <w:pPr>
                    <w:jc w:val="center"/>
                    <w:rPr>
                      <w:rFonts w:cstheme="minorHAnsi"/>
                      <w:bCs/>
                    </w:rPr>
                  </w:pPr>
                  <w:r w:rsidRPr="00130412">
                    <w:rPr>
                      <w:rFonts w:cstheme="minorHAnsi"/>
                      <w:bCs/>
                    </w:rPr>
                    <w:t>23%</w:t>
                  </w:r>
                </w:p>
              </w:tc>
              <w:tc>
                <w:tcPr>
                  <w:tcW w:w="2908" w:type="dxa"/>
                </w:tcPr>
                <w:p w14:paraId="3CE9A811" w14:textId="77777777" w:rsidR="009D1132" w:rsidRPr="00130412" w:rsidRDefault="009D1132" w:rsidP="009D1132">
                  <w:pPr>
                    <w:jc w:val="center"/>
                    <w:rPr>
                      <w:rFonts w:cstheme="minorHAnsi"/>
                      <w:bCs/>
                    </w:rPr>
                  </w:pPr>
                  <w:r>
                    <w:rPr>
                      <w:rFonts w:cstheme="minorHAnsi"/>
                      <w:bCs/>
                    </w:rPr>
                    <w:t>24%</w:t>
                  </w:r>
                </w:p>
              </w:tc>
              <w:tc>
                <w:tcPr>
                  <w:tcW w:w="2628" w:type="dxa"/>
                </w:tcPr>
                <w:p w14:paraId="6AE17355" w14:textId="77777777" w:rsidR="009D1132" w:rsidRPr="00130412" w:rsidRDefault="009D1132" w:rsidP="009D1132">
                  <w:pPr>
                    <w:jc w:val="center"/>
                    <w:rPr>
                      <w:rFonts w:cstheme="minorHAnsi"/>
                      <w:bCs/>
                    </w:rPr>
                  </w:pPr>
                  <w:r w:rsidRPr="00130412">
                    <w:rPr>
                      <w:rFonts w:cstheme="minorHAnsi"/>
                      <w:bCs/>
                    </w:rPr>
                    <w:t>24%</w:t>
                  </w:r>
                </w:p>
              </w:tc>
              <w:tc>
                <w:tcPr>
                  <w:tcW w:w="2908" w:type="dxa"/>
                </w:tcPr>
                <w:p w14:paraId="661277F1" w14:textId="77777777" w:rsidR="009D1132" w:rsidRPr="00130412" w:rsidRDefault="009D1132" w:rsidP="009D1132">
                  <w:pPr>
                    <w:jc w:val="center"/>
                    <w:rPr>
                      <w:rFonts w:cstheme="minorHAnsi"/>
                      <w:bCs/>
                    </w:rPr>
                  </w:pPr>
                  <w:r>
                    <w:rPr>
                      <w:rFonts w:cstheme="minorHAnsi"/>
                      <w:bCs/>
                    </w:rPr>
                    <w:t>44%</w:t>
                  </w:r>
                </w:p>
              </w:tc>
            </w:tr>
            <w:tr w:rsidR="009D1132" w:rsidRPr="00130412" w14:paraId="2F6DA486" w14:textId="77777777" w:rsidTr="00FB1C7C">
              <w:tc>
                <w:tcPr>
                  <w:tcW w:w="3119" w:type="dxa"/>
                </w:tcPr>
                <w:p w14:paraId="52009FF2" w14:textId="77777777" w:rsidR="009D1132" w:rsidRPr="00130412" w:rsidRDefault="009D1132" w:rsidP="009D1132">
                  <w:pPr>
                    <w:jc w:val="center"/>
                    <w:rPr>
                      <w:rFonts w:cstheme="minorHAnsi"/>
                      <w:bCs/>
                    </w:rPr>
                  </w:pPr>
                  <w:r w:rsidRPr="00130412">
                    <w:rPr>
                      <w:rFonts w:cstheme="minorHAnsi"/>
                      <w:bCs/>
                    </w:rPr>
                    <w:t>5 x Level 1 Qualifications inc. Eng. &amp; Maths</w:t>
                  </w:r>
                </w:p>
              </w:tc>
              <w:tc>
                <w:tcPr>
                  <w:tcW w:w="2385" w:type="dxa"/>
                </w:tcPr>
                <w:p w14:paraId="7D04E10D" w14:textId="77777777" w:rsidR="009D1132" w:rsidRPr="00130412" w:rsidRDefault="009D1132" w:rsidP="009D1132">
                  <w:pPr>
                    <w:jc w:val="center"/>
                    <w:rPr>
                      <w:rFonts w:cstheme="minorHAnsi"/>
                      <w:bCs/>
                    </w:rPr>
                  </w:pPr>
                  <w:r w:rsidRPr="00130412">
                    <w:rPr>
                      <w:rFonts w:cstheme="minorHAnsi"/>
                      <w:bCs/>
                    </w:rPr>
                    <w:t>15%</w:t>
                  </w:r>
                </w:p>
              </w:tc>
              <w:tc>
                <w:tcPr>
                  <w:tcW w:w="2908" w:type="dxa"/>
                </w:tcPr>
                <w:p w14:paraId="3F3A9D45" w14:textId="77777777" w:rsidR="009D1132" w:rsidRPr="00130412" w:rsidRDefault="009D1132" w:rsidP="009D1132">
                  <w:pPr>
                    <w:jc w:val="center"/>
                    <w:rPr>
                      <w:rFonts w:cstheme="minorHAnsi"/>
                      <w:bCs/>
                    </w:rPr>
                  </w:pPr>
                  <w:r>
                    <w:rPr>
                      <w:rFonts w:cstheme="minorHAnsi"/>
                      <w:bCs/>
                    </w:rPr>
                    <w:t>5%</w:t>
                  </w:r>
                </w:p>
              </w:tc>
              <w:tc>
                <w:tcPr>
                  <w:tcW w:w="2628" w:type="dxa"/>
                </w:tcPr>
                <w:p w14:paraId="46B0291F" w14:textId="77777777" w:rsidR="009D1132" w:rsidRPr="00130412" w:rsidRDefault="009D1132" w:rsidP="009D1132">
                  <w:pPr>
                    <w:jc w:val="center"/>
                    <w:rPr>
                      <w:rFonts w:cstheme="minorHAnsi"/>
                      <w:bCs/>
                    </w:rPr>
                  </w:pPr>
                  <w:r w:rsidRPr="00130412">
                    <w:rPr>
                      <w:rFonts w:cstheme="minorHAnsi"/>
                      <w:bCs/>
                    </w:rPr>
                    <w:t>12%</w:t>
                  </w:r>
                </w:p>
              </w:tc>
              <w:tc>
                <w:tcPr>
                  <w:tcW w:w="2908" w:type="dxa"/>
                </w:tcPr>
                <w:p w14:paraId="6F2667EB" w14:textId="77777777" w:rsidR="009D1132" w:rsidRPr="00130412" w:rsidRDefault="009D1132" w:rsidP="009D1132">
                  <w:pPr>
                    <w:jc w:val="center"/>
                    <w:rPr>
                      <w:rFonts w:cstheme="minorHAnsi"/>
                      <w:bCs/>
                    </w:rPr>
                  </w:pPr>
                  <w:r>
                    <w:rPr>
                      <w:rFonts w:cstheme="minorHAnsi"/>
                      <w:bCs/>
                    </w:rPr>
                    <w:t>22%</w:t>
                  </w:r>
                </w:p>
              </w:tc>
            </w:tr>
            <w:tr w:rsidR="009D1132" w:rsidRPr="00130412" w14:paraId="44801F86" w14:textId="77777777" w:rsidTr="00FB1C7C">
              <w:tc>
                <w:tcPr>
                  <w:tcW w:w="3119" w:type="dxa"/>
                </w:tcPr>
                <w:p w14:paraId="1C4D6FCA" w14:textId="77777777" w:rsidR="009D1132" w:rsidRPr="00130412" w:rsidRDefault="009D1132" w:rsidP="009D1132">
                  <w:pPr>
                    <w:jc w:val="center"/>
                    <w:rPr>
                      <w:rFonts w:cstheme="minorHAnsi"/>
                      <w:bCs/>
                    </w:rPr>
                  </w:pPr>
                  <w:r w:rsidRPr="00130412">
                    <w:rPr>
                      <w:rFonts w:cstheme="minorHAnsi"/>
                      <w:bCs/>
                    </w:rPr>
                    <w:t>5 x Qualifications</w:t>
                  </w:r>
                </w:p>
              </w:tc>
              <w:tc>
                <w:tcPr>
                  <w:tcW w:w="2385" w:type="dxa"/>
                </w:tcPr>
                <w:p w14:paraId="61C65A51" w14:textId="77777777" w:rsidR="009D1132" w:rsidRPr="00130412" w:rsidRDefault="009D1132" w:rsidP="009D1132">
                  <w:pPr>
                    <w:jc w:val="center"/>
                    <w:rPr>
                      <w:rFonts w:cstheme="minorHAnsi"/>
                      <w:bCs/>
                    </w:rPr>
                  </w:pPr>
                  <w:r w:rsidRPr="00130412">
                    <w:rPr>
                      <w:rFonts w:cstheme="minorHAnsi"/>
                      <w:bCs/>
                    </w:rPr>
                    <w:t>92%</w:t>
                  </w:r>
                </w:p>
              </w:tc>
              <w:tc>
                <w:tcPr>
                  <w:tcW w:w="2908" w:type="dxa"/>
                </w:tcPr>
                <w:p w14:paraId="1183CFA3" w14:textId="77777777" w:rsidR="009D1132" w:rsidRPr="00130412" w:rsidRDefault="009D1132" w:rsidP="009D1132">
                  <w:pPr>
                    <w:jc w:val="center"/>
                    <w:rPr>
                      <w:rFonts w:cstheme="minorHAnsi"/>
                      <w:bCs/>
                    </w:rPr>
                  </w:pPr>
                  <w:r>
                    <w:rPr>
                      <w:rFonts w:cstheme="minorHAnsi"/>
                      <w:bCs/>
                    </w:rPr>
                    <w:t>95%</w:t>
                  </w:r>
                </w:p>
              </w:tc>
              <w:tc>
                <w:tcPr>
                  <w:tcW w:w="2628" w:type="dxa"/>
                </w:tcPr>
                <w:p w14:paraId="08C15D83" w14:textId="77777777" w:rsidR="009D1132" w:rsidRPr="00130412" w:rsidRDefault="009D1132" w:rsidP="009D1132">
                  <w:pPr>
                    <w:jc w:val="center"/>
                    <w:rPr>
                      <w:rFonts w:cstheme="minorHAnsi"/>
                      <w:bCs/>
                    </w:rPr>
                  </w:pPr>
                  <w:r w:rsidRPr="00130412">
                    <w:rPr>
                      <w:rFonts w:cstheme="minorHAnsi"/>
                      <w:bCs/>
                    </w:rPr>
                    <w:t>76%</w:t>
                  </w:r>
                </w:p>
              </w:tc>
              <w:tc>
                <w:tcPr>
                  <w:tcW w:w="2908" w:type="dxa"/>
                </w:tcPr>
                <w:p w14:paraId="7D2D0E07" w14:textId="77777777" w:rsidR="009D1132" w:rsidRPr="00130412" w:rsidRDefault="009D1132" w:rsidP="009D1132">
                  <w:pPr>
                    <w:jc w:val="center"/>
                    <w:rPr>
                      <w:rFonts w:cstheme="minorHAnsi"/>
                      <w:bCs/>
                    </w:rPr>
                  </w:pPr>
                  <w:r>
                    <w:rPr>
                      <w:rFonts w:cstheme="minorHAnsi"/>
                      <w:bCs/>
                    </w:rPr>
                    <w:t>100%</w:t>
                  </w:r>
                </w:p>
              </w:tc>
            </w:tr>
            <w:tr w:rsidR="009D1132" w:rsidRPr="00130412" w14:paraId="4BC152B0" w14:textId="77777777" w:rsidTr="00FB1C7C">
              <w:tc>
                <w:tcPr>
                  <w:tcW w:w="3119" w:type="dxa"/>
                </w:tcPr>
                <w:p w14:paraId="024630A0" w14:textId="77777777" w:rsidR="009D1132" w:rsidRPr="00130412" w:rsidRDefault="009D1132" w:rsidP="009D1132">
                  <w:pPr>
                    <w:jc w:val="center"/>
                    <w:rPr>
                      <w:rFonts w:cstheme="minorHAnsi"/>
                      <w:bCs/>
                    </w:rPr>
                  </w:pPr>
                  <w:r w:rsidRPr="00130412">
                    <w:rPr>
                      <w:rFonts w:cstheme="minorHAnsi"/>
                      <w:bCs/>
                    </w:rPr>
                    <w:t>3 x Qualifications</w:t>
                  </w:r>
                </w:p>
              </w:tc>
              <w:tc>
                <w:tcPr>
                  <w:tcW w:w="2385" w:type="dxa"/>
                </w:tcPr>
                <w:p w14:paraId="59C40E8A" w14:textId="77777777" w:rsidR="009D1132" w:rsidRPr="00130412" w:rsidRDefault="009D1132" w:rsidP="009D1132">
                  <w:pPr>
                    <w:jc w:val="center"/>
                    <w:rPr>
                      <w:rFonts w:cstheme="minorHAnsi"/>
                      <w:bCs/>
                    </w:rPr>
                  </w:pPr>
                  <w:r w:rsidRPr="00130412">
                    <w:rPr>
                      <w:rFonts w:cstheme="minorHAnsi"/>
                      <w:bCs/>
                    </w:rPr>
                    <w:t>100%</w:t>
                  </w:r>
                </w:p>
              </w:tc>
              <w:tc>
                <w:tcPr>
                  <w:tcW w:w="2908" w:type="dxa"/>
                </w:tcPr>
                <w:p w14:paraId="516EA89D" w14:textId="77777777" w:rsidR="009D1132" w:rsidRPr="00130412" w:rsidRDefault="009D1132" w:rsidP="009D1132">
                  <w:pPr>
                    <w:jc w:val="center"/>
                    <w:rPr>
                      <w:rFonts w:cstheme="minorHAnsi"/>
                      <w:bCs/>
                    </w:rPr>
                  </w:pPr>
                  <w:r>
                    <w:rPr>
                      <w:rFonts w:cstheme="minorHAnsi"/>
                      <w:bCs/>
                    </w:rPr>
                    <w:t>95%</w:t>
                  </w:r>
                </w:p>
              </w:tc>
              <w:tc>
                <w:tcPr>
                  <w:tcW w:w="2628" w:type="dxa"/>
                </w:tcPr>
                <w:p w14:paraId="1D476FC5" w14:textId="77777777" w:rsidR="009D1132" w:rsidRPr="00130412" w:rsidRDefault="009D1132" w:rsidP="009D1132">
                  <w:pPr>
                    <w:jc w:val="center"/>
                    <w:rPr>
                      <w:rFonts w:cstheme="minorHAnsi"/>
                      <w:bCs/>
                    </w:rPr>
                  </w:pPr>
                  <w:r w:rsidRPr="00130412">
                    <w:rPr>
                      <w:rFonts w:cstheme="minorHAnsi"/>
                      <w:bCs/>
                    </w:rPr>
                    <w:t>100%</w:t>
                  </w:r>
                </w:p>
              </w:tc>
              <w:tc>
                <w:tcPr>
                  <w:tcW w:w="2908" w:type="dxa"/>
                </w:tcPr>
                <w:p w14:paraId="58979F26" w14:textId="77777777" w:rsidR="009D1132" w:rsidRPr="00130412" w:rsidRDefault="009D1132" w:rsidP="009D1132">
                  <w:pPr>
                    <w:jc w:val="center"/>
                    <w:rPr>
                      <w:rFonts w:cstheme="minorHAnsi"/>
                      <w:bCs/>
                    </w:rPr>
                  </w:pPr>
                  <w:r>
                    <w:rPr>
                      <w:rFonts w:cstheme="minorHAnsi"/>
                      <w:bCs/>
                    </w:rPr>
                    <w:t>100%</w:t>
                  </w:r>
                </w:p>
              </w:tc>
            </w:tr>
          </w:tbl>
          <w:p w14:paraId="2A7D5546" w14:textId="528E1AA1" w:rsidR="00E66558" w:rsidRDefault="00E66558"/>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25D8" w14:textId="77777777" w:rsidR="00F1494D" w:rsidRPr="004C6177" w:rsidRDefault="00F1494D" w:rsidP="00F1494D">
            <w:pPr>
              <w:suppressAutoHyphens w:val="0"/>
              <w:autoSpaceDN/>
              <w:spacing w:before="120" w:after="120"/>
              <w:rPr>
                <w:b/>
                <w:bCs/>
                <w:iCs/>
                <w:color w:val="auto"/>
              </w:rPr>
            </w:pPr>
            <w:r w:rsidRPr="004C6177">
              <w:rPr>
                <w:b/>
                <w:bCs/>
                <w:iCs/>
                <w:color w:val="auto"/>
              </w:rPr>
              <w:t>Additional activity</w:t>
            </w:r>
          </w:p>
          <w:p w14:paraId="5D92CFAB" w14:textId="77777777" w:rsidR="00F1494D" w:rsidRPr="004C6177" w:rsidRDefault="00F1494D" w:rsidP="00F1494D">
            <w:pPr>
              <w:suppressAutoHyphens w:val="0"/>
              <w:autoSpaceDN/>
              <w:spacing w:before="120" w:after="120"/>
              <w:rPr>
                <w:rFonts w:cs="Arial"/>
                <w:iCs/>
                <w:color w:val="auto"/>
                <w:lang w:eastAsia="en-US"/>
              </w:rPr>
            </w:pPr>
            <w:r w:rsidRPr="004C6177">
              <w:rPr>
                <w:rFonts w:cs="Arial"/>
                <w:iCs/>
                <w:color w:val="auto"/>
                <w:lang w:eastAsia="en-US"/>
              </w:rPr>
              <w:t xml:space="preserve">Our pupil premium strategy will be supplemented by additional activity that we are not funding using pupil premium or recovery premium. That will include: </w:t>
            </w:r>
          </w:p>
          <w:p w14:paraId="6435CB3B" w14:textId="77777777" w:rsidR="00F1494D" w:rsidRPr="004C6177" w:rsidRDefault="00F1494D" w:rsidP="00F1494D">
            <w:pPr>
              <w:pStyle w:val="ListParagraph"/>
              <w:numPr>
                <w:ilvl w:val="0"/>
                <w:numId w:val="15"/>
              </w:numPr>
              <w:suppressAutoHyphens w:val="0"/>
              <w:autoSpaceDN/>
              <w:spacing w:before="120" w:after="120"/>
              <w:ind w:left="714" w:hanging="357"/>
              <w:contextualSpacing w:val="0"/>
              <w:rPr>
                <w:color w:val="auto"/>
              </w:rPr>
            </w:pPr>
            <w:r w:rsidRPr="004C6177">
              <w:rPr>
                <w:color w:val="auto"/>
              </w:rPr>
              <w:t>Working in partnership with local colleges to provide opportunities such as taster courses, link programmes and mentoring to enable young people with SEN to familiarise themselves with the college environment and gain some experience of college life and study.</w:t>
            </w:r>
          </w:p>
          <w:p w14:paraId="7EC276CA" w14:textId="77777777" w:rsidR="00F1494D" w:rsidRPr="004C6177" w:rsidRDefault="00F1494D" w:rsidP="00F1494D">
            <w:pPr>
              <w:pStyle w:val="ListParagraph"/>
              <w:numPr>
                <w:ilvl w:val="0"/>
                <w:numId w:val="15"/>
              </w:numPr>
              <w:suppressAutoHyphens w:val="0"/>
              <w:autoSpaceDN/>
              <w:spacing w:before="120"/>
              <w:ind w:left="714" w:hanging="357"/>
              <w:contextualSpacing w:val="0"/>
              <w:rPr>
                <w:b/>
                <w:bCs/>
                <w:iCs/>
                <w:color w:val="auto"/>
              </w:rPr>
            </w:pPr>
            <w:r w:rsidRPr="004C6177">
              <w:rPr>
                <w:color w:val="auto"/>
              </w:rPr>
              <w:t>Arranging work-based learning that enables pupils to have first-hand experience of work, such as apprenticeships, traineeships, and supported internships.</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44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E471E1B"/>
    <w:multiLevelType w:val="multilevel"/>
    <w:tmpl w:val="73621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DF1E08"/>
    <w:multiLevelType w:val="hybridMultilevel"/>
    <w:tmpl w:val="380C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54011778">
    <w:abstractNumId w:val="3"/>
  </w:num>
  <w:num w:numId="2" w16cid:durableId="1265307846">
    <w:abstractNumId w:val="1"/>
  </w:num>
  <w:num w:numId="3" w16cid:durableId="1264797877">
    <w:abstractNumId w:val="4"/>
  </w:num>
  <w:num w:numId="4" w16cid:durableId="1677875940">
    <w:abstractNumId w:val="5"/>
  </w:num>
  <w:num w:numId="5" w16cid:durableId="1189025544">
    <w:abstractNumId w:val="0"/>
  </w:num>
  <w:num w:numId="6" w16cid:durableId="1391151663">
    <w:abstractNumId w:val="6"/>
  </w:num>
  <w:num w:numId="7" w16cid:durableId="1927419334">
    <w:abstractNumId w:val="9"/>
  </w:num>
  <w:num w:numId="8" w16cid:durableId="888031221">
    <w:abstractNumId w:val="15"/>
  </w:num>
  <w:num w:numId="9" w16cid:durableId="253168332">
    <w:abstractNumId w:val="13"/>
  </w:num>
  <w:num w:numId="10" w16cid:durableId="541750014">
    <w:abstractNumId w:val="11"/>
  </w:num>
  <w:num w:numId="11" w16cid:durableId="822234216">
    <w:abstractNumId w:val="2"/>
  </w:num>
  <w:num w:numId="12" w16cid:durableId="1750417303">
    <w:abstractNumId w:val="14"/>
  </w:num>
  <w:num w:numId="13" w16cid:durableId="1798257763">
    <w:abstractNumId w:val="8"/>
  </w:num>
  <w:num w:numId="14" w16cid:durableId="1737047868">
    <w:abstractNumId w:val="10"/>
  </w:num>
  <w:num w:numId="15" w16cid:durableId="1724331475">
    <w:abstractNumId w:val="12"/>
  </w:num>
  <w:num w:numId="16" w16cid:durableId="4941048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8E6"/>
    <w:rsid w:val="00021A2F"/>
    <w:rsid w:val="00066B73"/>
    <w:rsid w:val="00111324"/>
    <w:rsid w:val="00116CDE"/>
    <w:rsid w:val="00120AB1"/>
    <w:rsid w:val="00131AE1"/>
    <w:rsid w:val="00216F38"/>
    <w:rsid w:val="00273223"/>
    <w:rsid w:val="002B0EC6"/>
    <w:rsid w:val="002D4665"/>
    <w:rsid w:val="004044AA"/>
    <w:rsid w:val="00432424"/>
    <w:rsid w:val="004460FE"/>
    <w:rsid w:val="00454160"/>
    <w:rsid w:val="004D0BF7"/>
    <w:rsid w:val="00561459"/>
    <w:rsid w:val="006E7FB1"/>
    <w:rsid w:val="007169B6"/>
    <w:rsid w:val="00741B9E"/>
    <w:rsid w:val="00791375"/>
    <w:rsid w:val="007C2F04"/>
    <w:rsid w:val="00804853"/>
    <w:rsid w:val="009D1132"/>
    <w:rsid w:val="009D71E8"/>
    <w:rsid w:val="00A76CCD"/>
    <w:rsid w:val="00AA4201"/>
    <w:rsid w:val="00AD4FA8"/>
    <w:rsid w:val="00B24170"/>
    <w:rsid w:val="00B53824"/>
    <w:rsid w:val="00B9160E"/>
    <w:rsid w:val="00BB0E30"/>
    <w:rsid w:val="00BD4D87"/>
    <w:rsid w:val="00BE54E3"/>
    <w:rsid w:val="00D33FE5"/>
    <w:rsid w:val="00D44254"/>
    <w:rsid w:val="00E17831"/>
    <w:rsid w:val="00E66558"/>
    <w:rsid w:val="00E908F2"/>
    <w:rsid w:val="00F12953"/>
    <w:rsid w:val="00F1494D"/>
    <w:rsid w:val="00F25790"/>
    <w:rsid w:val="00F9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59"/>
    <w:rsid w:val="00273223"/>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223"/>
    <w:pPr>
      <w:autoSpaceDE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4895">
      <w:bodyDiv w:val="1"/>
      <w:marLeft w:val="0"/>
      <w:marRight w:val="0"/>
      <w:marTop w:val="0"/>
      <w:marBottom w:val="0"/>
      <w:divBdr>
        <w:top w:val="none" w:sz="0" w:space="0" w:color="auto"/>
        <w:left w:val="none" w:sz="0" w:space="0" w:color="auto"/>
        <w:bottom w:val="none" w:sz="0" w:space="0" w:color="auto"/>
        <w:right w:val="none" w:sz="0" w:space="0" w:color="auto"/>
      </w:divBdr>
    </w:div>
    <w:div w:id="106498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rlycareer.chartered.college/cognitive-load-theory-and-its-application-in-the-classroom-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provingliteracy.org/brief/learning-read-simple-view-read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spcc.org.uk/keeping-children-safe/support-for-parents/coronavirus-supporting-children-special-educational-needs-disabilitie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575323/Home_to_school_travel_and_transport_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Ian Graham Wells</cp:lastModifiedBy>
  <cp:revision>2</cp:revision>
  <cp:lastPrinted>2014-09-17T13:26:00Z</cp:lastPrinted>
  <dcterms:created xsi:type="dcterms:W3CDTF">2023-07-05T12:14:00Z</dcterms:created>
  <dcterms:modified xsi:type="dcterms:W3CDTF">2023-07-05T12:14:00Z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